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12"/>
        <w:ind w:left="3488" w:right="0" w:firstLine="0"/>
        <w:jc w:val="left"/>
        <w:rPr>
          <w:b/>
          <w:sz w:val="21"/>
        </w:rPr>
      </w:pPr>
      <w:r>
        <w:rPr>
          <w:b/>
          <w:color w:val="231F20"/>
          <w:sz w:val="28"/>
        </w:rPr>
        <w:t>V</w:t>
      </w:r>
      <w:r>
        <w:rPr>
          <w:b/>
          <w:color w:val="231F20"/>
          <w:sz w:val="21"/>
        </w:rPr>
        <w:t>OLCANOGENIC </w:t>
      </w:r>
      <w:r>
        <w:rPr>
          <w:b/>
          <w:color w:val="231F20"/>
          <w:sz w:val="28"/>
        </w:rPr>
        <w:t>M</w:t>
      </w:r>
      <w:r>
        <w:rPr>
          <w:b/>
          <w:color w:val="231F20"/>
          <w:sz w:val="21"/>
        </w:rPr>
        <w:t>ASSIVE </w:t>
      </w:r>
      <w:r>
        <w:rPr>
          <w:b/>
          <w:color w:val="231F20"/>
          <w:sz w:val="28"/>
        </w:rPr>
        <w:t>S</w:t>
      </w:r>
      <w:r>
        <w:rPr>
          <w:b/>
          <w:color w:val="231F20"/>
          <w:sz w:val="21"/>
        </w:rPr>
        <w:t>ULPHIDE </w:t>
      </w:r>
      <w:r>
        <w:rPr>
          <w:b/>
          <w:color w:val="231F20"/>
          <w:sz w:val="28"/>
        </w:rPr>
        <w:t>D</w:t>
      </w:r>
      <w:r>
        <w:rPr>
          <w:b/>
          <w:color w:val="231F20"/>
          <w:sz w:val="21"/>
        </w:rPr>
        <w:t>EPOSITS</w:t>
      </w:r>
    </w:p>
    <w:p>
      <w:pPr>
        <w:spacing w:before="25"/>
        <w:ind w:left="2907" w:right="0" w:firstLine="0"/>
        <w:jc w:val="left"/>
        <w:rPr>
          <w:sz w:val="16"/>
        </w:rPr>
      </w:pPr>
      <w:r>
        <w:rPr>
          <w:color w:val="231F20"/>
          <w:sz w:val="24"/>
        </w:rPr>
        <w:t>A</w:t>
      </w:r>
      <w:r>
        <w:rPr>
          <w:color w:val="231F20"/>
          <w:sz w:val="18"/>
        </w:rPr>
        <w:t>LAN </w:t>
      </w:r>
      <w:r>
        <w:rPr>
          <w:color w:val="231F20"/>
          <w:sz w:val="24"/>
        </w:rPr>
        <w:t>G. G</w:t>
      </w:r>
      <w:r>
        <w:rPr>
          <w:color w:val="231F20"/>
          <w:sz w:val="18"/>
        </w:rPr>
        <w:t>ALLEY</w:t>
      </w:r>
      <w:r>
        <w:rPr>
          <w:color w:val="231F20"/>
          <w:position w:val="4"/>
          <w:sz w:val="16"/>
        </w:rPr>
        <w:t>1</w:t>
      </w:r>
      <w:r>
        <w:rPr>
          <w:color w:val="231F20"/>
          <w:sz w:val="24"/>
        </w:rPr>
        <w:t>, M</w:t>
      </w:r>
      <w:r>
        <w:rPr>
          <w:color w:val="231F20"/>
          <w:sz w:val="18"/>
        </w:rPr>
        <w:t>ARK </w:t>
      </w:r>
      <w:r>
        <w:rPr>
          <w:color w:val="231F20"/>
          <w:sz w:val="24"/>
        </w:rPr>
        <w:t>D. H</w:t>
      </w:r>
      <w:r>
        <w:rPr>
          <w:color w:val="231F20"/>
          <w:sz w:val="18"/>
        </w:rPr>
        <w:t>ANNINGTON</w:t>
      </w:r>
      <w:r>
        <w:rPr>
          <w:color w:val="231F20"/>
          <w:position w:val="4"/>
          <w:sz w:val="16"/>
        </w:rPr>
        <w:t>2</w:t>
      </w:r>
      <w:r>
        <w:rPr>
          <w:color w:val="231F20"/>
          <w:sz w:val="24"/>
        </w:rPr>
        <w:t>, </w:t>
      </w:r>
      <w:r>
        <w:rPr>
          <w:color w:val="231F20"/>
          <w:sz w:val="18"/>
        </w:rPr>
        <w:t>AND </w:t>
      </w:r>
      <w:r>
        <w:rPr>
          <w:color w:val="231F20"/>
          <w:sz w:val="24"/>
        </w:rPr>
        <w:t>I</w:t>
      </w:r>
      <w:r>
        <w:rPr>
          <w:color w:val="231F20"/>
          <w:sz w:val="18"/>
        </w:rPr>
        <w:t>AN </w:t>
      </w:r>
      <w:r>
        <w:rPr>
          <w:color w:val="231F20"/>
          <w:sz w:val="24"/>
        </w:rPr>
        <w:t>R. J</w:t>
      </w:r>
      <w:r>
        <w:rPr>
          <w:color w:val="231F20"/>
          <w:sz w:val="18"/>
        </w:rPr>
        <w:t>ONASSON</w:t>
      </w:r>
      <w:r>
        <w:rPr>
          <w:color w:val="231F20"/>
          <w:position w:val="4"/>
          <w:sz w:val="16"/>
        </w:rPr>
        <w:t>1</w:t>
      </w:r>
    </w:p>
    <w:p>
      <w:pPr>
        <w:pStyle w:val="ListParagraph"/>
        <w:numPr>
          <w:ilvl w:val="0"/>
          <w:numId w:val="1"/>
        </w:numPr>
        <w:tabs>
          <w:tab w:pos="3199" w:val="left" w:leader="none"/>
        </w:tabs>
        <w:spacing w:line="225" w:lineRule="exact" w:before="26" w:after="0"/>
        <w:ind w:left="3995" w:right="0" w:hanging="1002"/>
        <w:jc w:val="left"/>
        <w:rPr>
          <w:i/>
          <w:sz w:val="20"/>
        </w:rPr>
      </w:pPr>
      <w:r>
        <w:rPr>
          <w:i/>
          <w:color w:val="231F20"/>
          <w:sz w:val="20"/>
        </w:rPr>
        <w:t>Geological Survey of Canada, 601 Booth </w:t>
      </w:r>
      <w:r>
        <w:rPr>
          <w:i/>
          <w:color w:val="231F20"/>
          <w:spacing w:val="-3"/>
          <w:sz w:val="20"/>
        </w:rPr>
        <w:t>Street, </w:t>
      </w:r>
      <w:r>
        <w:rPr>
          <w:i/>
          <w:color w:val="231F20"/>
          <w:sz w:val="20"/>
        </w:rPr>
        <w:t>Ottawa, Ontario K1A</w:t>
      </w:r>
      <w:r>
        <w:rPr>
          <w:i/>
          <w:color w:val="231F20"/>
          <w:spacing w:val="42"/>
          <w:sz w:val="20"/>
        </w:rPr>
        <w:t> </w:t>
      </w:r>
      <w:r>
        <w:rPr>
          <w:i/>
          <w:color w:val="231F20"/>
          <w:sz w:val="20"/>
        </w:rPr>
        <w:t>0E8</w:t>
      </w:r>
    </w:p>
    <w:p>
      <w:pPr>
        <w:pStyle w:val="ListParagraph"/>
        <w:numPr>
          <w:ilvl w:val="0"/>
          <w:numId w:val="1"/>
        </w:numPr>
        <w:tabs>
          <w:tab w:pos="1685" w:val="left" w:leader="none"/>
        </w:tabs>
        <w:spacing w:line="230" w:lineRule="auto" w:before="3" w:after="0"/>
        <w:ind w:left="3995" w:right="1480" w:hanging="2516"/>
        <w:jc w:val="left"/>
        <w:rPr>
          <w:i/>
          <w:sz w:val="20"/>
        </w:rPr>
      </w:pPr>
      <w:r>
        <w:rPr>
          <w:i/>
          <w:color w:val="231F20"/>
          <w:sz w:val="20"/>
        </w:rPr>
        <w:t>Department of Earth Sciences, University of Ottawa, Marion Hall, 140 Louis Pasteur,Ottawa, Ontario K1N 6N5 </w:t>
      </w:r>
      <w:r>
        <w:rPr>
          <w:i/>
          <w:color w:val="231F20"/>
          <w:sz w:val="20"/>
        </w:rPr>
        <w:t>Corresponding </w:t>
      </w:r>
      <w:r>
        <w:rPr>
          <w:i/>
          <w:color w:val="231F20"/>
          <w:spacing w:val="-3"/>
          <w:sz w:val="20"/>
        </w:rPr>
        <w:t>author’s </w:t>
      </w:r>
      <w:r>
        <w:rPr>
          <w:i/>
          <w:color w:val="231F20"/>
          <w:sz w:val="20"/>
        </w:rPr>
        <w:t>email:</w:t>
      </w:r>
      <w:r>
        <w:rPr>
          <w:i/>
          <w:color w:val="231F20"/>
          <w:spacing w:val="15"/>
          <w:sz w:val="20"/>
        </w:rPr>
        <w:t> </w:t>
      </w:r>
      <w:hyperlink r:id="rId5">
        <w:r>
          <w:rPr>
            <w:i/>
            <w:color w:val="231F20"/>
            <w:sz w:val="20"/>
          </w:rPr>
          <w:t>agalley@nrcan.gc.ca</w:t>
        </w:r>
      </w:hyperlink>
    </w:p>
    <w:p>
      <w:pPr>
        <w:pStyle w:val="BodyText"/>
        <w:spacing w:before="8"/>
        <w:rPr>
          <w:i/>
          <w:sz w:val="24"/>
        </w:rPr>
      </w:pPr>
    </w:p>
    <w:p>
      <w:pPr>
        <w:pStyle w:val="Heading1"/>
        <w:spacing w:before="1"/>
        <w:ind w:left="5458" w:right="5489"/>
        <w:jc w:val="center"/>
      </w:pPr>
      <w:r>
        <w:rPr>
          <w:color w:val="231F20"/>
        </w:rPr>
        <w:t>Abstract</w:t>
      </w:r>
    </w:p>
    <w:p>
      <w:pPr>
        <w:spacing w:line="230" w:lineRule="auto" w:before="73"/>
        <w:ind w:left="1819" w:right="1848" w:firstLine="288"/>
        <w:jc w:val="both"/>
        <w:rPr>
          <w:sz w:val="18"/>
        </w:rPr>
      </w:pPr>
      <w:r>
        <w:rPr>
          <w:color w:val="231F20"/>
          <w:sz w:val="18"/>
        </w:rPr>
        <w:t>Volcanogenic massive sulphide (VMS) deposits, also known as volcanic-associated, volcanic-hosted, and</w:t>
      </w:r>
      <w:r>
        <w:rPr>
          <w:color w:val="231F20"/>
          <w:spacing w:val="-23"/>
          <w:sz w:val="18"/>
        </w:rPr>
        <w:t> </w:t>
      </w:r>
      <w:r>
        <w:rPr>
          <w:color w:val="231F20"/>
          <w:sz w:val="18"/>
        </w:rPr>
        <w:t>volcano- sedimentary-hosted</w:t>
      </w:r>
      <w:r>
        <w:rPr>
          <w:color w:val="231F20"/>
          <w:spacing w:val="-6"/>
          <w:sz w:val="18"/>
        </w:rPr>
        <w:t> </w:t>
      </w:r>
      <w:r>
        <w:rPr>
          <w:color w:val="231F20"/>
          <w:sz w:val="18"/>
        </w:rPr>
        <w:t>massive</w:t>
      </w:r>
      <w:r>
        <w:rPr>
          <w:color w:val="231F20"/>
          <w:spacing w:val="-6"/>
          <w:sz w:val="18"/>
        </w:rPr>
        <w:t> </w:t>
      </w:r>
      <w:r>
        <w:rPr>
          <w:color w:val="231F20"/>
          <w:sz w:val="18"/>
        </w:rPr>
        <w:t>sulphide</w:t>
      </w:r>
      <w:r>
        <w:rPr>
          <w:color w:val="231F20"/>
          <w:spacing w:val="-6"/>
          <w:sz w:val="18"/>
        </w:rPr>
        <w:t> </w:t>
      </w:r>
      <w:r>
        <w:rPr>
          <w:color w:val="231F20"/>
          <w:sz w:val="18"/>
        </w:rPr>
        <w:t>deposits,</w:t>
      </w:r>
      <w:r>
        <w:rPr>
          <w:color w:val="231F20"/>
          <w:spacing w:val="-6"/>
          <w:sz w:val="18"/>
        </w:rPr>
        <w:t> </w:t>
      </w:r>
      <w:r>
        <w:rPr>
          <w:color w:val="231F20"/>
          <w:sz w:val="18"/>
        </w:rPr>
        <w:t>are</w:t>
      </w:r>
      <w:r>
        <w:rPr>
          <w:color w:val="231F20"/>
          <w:spacing w:val="-6"/>
          <w:sz w:val="18"/>
        </w:rPr>
        <w:t> </w:t>
      </w:r>
      <w:r>
        <w:rPr>
          <w:color w:val="231F20"/>
          <w:sz w:val="18"/>
        </w:rPr>
        <w:t>major</w:t>
      </w:r>
      <w:r>
        <w:rPr>
          <w:color w:val="231F20"/>
          <w:spacing w:val="-6"/>
          <w:sz w:val="18"/>
        </w:rPr>
        <w:t> </w:t>
      </w:r>
      <w:r>
        <w:rPr>
          <w:color w:val="231F20"/>
          <w:sz w:val="18"/>
        </w:rPr>
        <w:t>sources</w:t>
      </w:r>
      <w:r>
        <w:rPr>
          <w:color w:val="231F20"/>
          <w:spacing w:val="-6"/>
          <w:sz w:val="18"/>
        </w:rPr>
        <w:t> </w:t>
      </w:r>
      <w:r>
        <w:rPr>
          <w:color w:val="231F20"/>
          <w:sz w:val="18"/>
        </w:rPr>
        <w:t>of</w:t>
      </w:r>
      <w:r>
        <w:rPr>
          <w:color w:val="231F20"/>
          <w:spacing w:val="-6"/>
          <w:sz w:val="18"/>
        </w:rPr>
        <w:t> </w:t>
      </w:r>
      <w:r>
        <w:rPr>
          <w:color w:val="231F20"/>
          <w:sz w:val="18"/>
        </w:rPr>
        <w:t>Zn,</w:t>
      </w:r>
      <w:r>
        <w:rPr>
          <w:color w:val="231F20"/>
          <w:spacing w:val="-6"/>
          <w:sz w:val="18"/>
        </w:rPr>
        <w:t> </w:t>
      </w:r>
      <w:r>
        <w:rPr>
          <w:color w:val="231F20"/>
          <w:sz w:val="18"/>
        </w:rPr>
        <w:t>Cu,</w:t>
      </w:r>
      <w:r>
        <w:rPr>
          <w:color w:val="231F20"/>
          <w:spacing w:val="-6"/>
          <w:sz w:val="18"/>
        </w:rPr>
        <w:t> </w:t>
      </w:r>
      <w:r>
        <w:rPr>
          <w:color w:val="231F20"/>
          <w:sz w:val="18"/>
        </w:rPr>
        <w:t>Pb,</w:t>
      </w:r>
      <w:r>
        <w:rPr>
          <w:color w:val="231F20"/>
          <w:spacing w:val="-16"/>
          <w:sz w:val="18"/>
        </w:rPr>
        <w:t> </w:t>
      </w:r>
      <w:r>
        <w:rPr>
          <w:color w:val="231F20"/>
          <w:sz w:val="18"/>
        </w:rPr>
        <w:t>Ag,</w:t>
      </w:r>
      <w:r>
        <w:rPr>
          <w:color w:val="231F20"/>
          <w:spacing w:val="-6"/>
          <w:sz w:val="18"/>
        </w:rPr>
        <w:t> </w:t>
      </w:r>
      <w:r>
        <w:rPr>
          <w:color w:val="231F20"/>
          <w:sz w:val="18"/>
        </w:rPr>
        <w:t>and</w:t>
      </w:r>
      <w:r>
        <w:rPr>
          <w:color w:val="231F20"/>
          <w:spacing w:val="-16"/>
          <w:sz w:val="18"/>
        </w:rPr>
        <w:t> </w:t>
      </w:r>
      <w:r>
        <w:rPr>
          <w:color w:val="231F20"/>
          <w:sz w:val="18"/>
        </w:rPr>
        <w:t>Au,</w:t>
      </w:r>
      <w:r>
        <w:rPr>
          <w:color w:val="231F20"/>
          <w:spacing w:val="-6"/>
          <w:sz w:val="18"/>
        </w:rPr>
        <w:t> </w:t>
      </w:r>
      <w:r>
        <w:rPr>
          <w:color w:val="231F20"/>
          <w:sz w:val="18"/>
        </w:rPr>
        <w:t>and</w:t>
      </w:r>
      <w:r>
        <w:rPr>
          <w:color w:val="231F20"/>
          <w:spacing w:val="-6"/>
          <w:sz w:val="18"/>
        </w:rPr>
        <w:t> </w:t>
      </w:r>
      <w:r>
        <w:rPr>
          <w:color w:val="231F20"/>
          <w:sz w:val="18"/>
        </w:rPr>
        <w:t>significant</w:t>
      </w:r>
      <w:r>
        <w:rPr>
          <w:color w:val="231F20"/>
          <w:spacing w:val="-6"/>
          <w:sz w:val="18"/>
        </w:rPr>
        <w:t> </w:t>
      </w:r>
      <w:r>
        <w:rPr>
          <w:color w:val="231F20"/>
          <w:sz w:val="18"/>
        </w:rPr>
        <w:t>sources</w:t>
      </w:r>
      <w:r>
        <w:rPr>
          <w:color w:val="231F20"/>
          <w:spacing w:val="-6"/>
          <w:sz w:val="18"/>
        </w:rPr>
        <w:t> </w:t>
      </w:r>
      <w:r>
        <w:rPr>
          <w:color w:val="231F20"/>
          <w:sz w:val="18"/>
        </w:rPr>
        <w:t>for Co, Sn, Se, Mn, Cd, In, Bi, </w:t>
      </w:r>
      <w:r>
        <w:rPr>
          <w:color w:val="231F20"/>
          <w:spacing w:val="-5"/>
          <w:sz w:val="18"/>
        </w:rPr>
        <w:t>Te, </w:t>
      </w:r>
      <w:r>
        <w:rPr>
          <w:color w:val="231F20"/>
          <w:sz w:val="18"/>
        </w:rPr>
        <w:t>Ga, and Ge. They typically occur as lenses of polymetallic massive sulphide that form at</w:t>
      </w:r>
      <w:r>
        <w:rPr>
          <w:color w:val="231F20"/>
          <w:spacing w:val="-7"/>
          <w:sz w:val="18"/>
        </w:rPr>
        <w:t> </w:t>
      </w:r>
      <w:r>
        <w:rPr>
          <w:color w:val="231F20"/>
          <w:sz w:val="18"/>
        </w:rPr>
        <w:t>or</w:t>
      </w:r>
      <w:r>
        <w:rPr>
          <w:color w:val="231F20"/>
          <w:spacing w:val="-7"/>
          <w:sz w:val="18"/>
        </w:rPr>
        <w:t> </w:t>
      </w:r>
      <w:r>
        <w:rPr>
          <w:color w:val="231F20"/>
          <w:sz w:val="18"/>
        </w:rPr>
        <w:t>near</w:t>
      </w:r>
      <w:r>
        <w:rPr>
          <w:color w:val="231F20"/>
          <w:spacing w:val="-7"/>
          <w:sz w:val="18"/>
        </w:rPr>
        <w:t> </w:t>
      </w:r>
      <w:r>
        <w:rPr>
          <w:color w:val="231F20"/>
          <w:sz w:val="18"/>
        </w:rPr>
        <w:t>the</w:t>
      </w:r>
      <w:r>
        <w:rPr>
          <w:color w:val="231F20"/>
          <w:spacing w:val="-7"/>
          <w:sz w:val="18"/>
        </w:rPr>
        <w:t> </w:t>
      </w:r>
      <w:r>
        <w:rPr>
          <w:color w:val="231F20"/>
          <w:sz w:val="18"/>
        </w:rPr>
        <w:t>seafloor</w:t>
      </w:r>
      <w:r>
        <w:rPr>
          <w:color w:val="231F20"/>
          <w:spacing w:val="-7"/>
          <w:sz w:val="18"/>
        </w:rPr>
        <w:t> </w:t>
      </w:r>
      <w:r>
        <w:rPr>
          <w:color w:val="231F20"/>
          <w:sz w:val="18"/>
        </w:rPr>
        <w:t>in</w:t>
      </w:r>
      <w:r>
        <w:rPr>
          <w:color w:val="231F20"/>
          <w:spacing w:val="-7"/>
          <w:sz w:val="18"/>
        </w:rPr>
        <w:t> </w:t>
      </w:r>
      <w:r>
        <w:rPr>
          <w:color w:val="231F20"/>
          <w:sz w:val="18"/>
        </w:rPr>
        <w:t>submarine</w:t>
      </w:r>
      <w:r>
        <w:rPr>
          <w:color w:val="231F20"/>
          <w:spacing w:val="-7"/>
          <w:sz w:val="18"/>
        </w:rPr>
        <w:t> </w:t>
      </w:r>
      <w:r>
        <w:rPr>
          <w:color w:val="231F20"/>
          <w:sz w:val="18"/>
        </w:rPr>
        <w:t>volcanic</w:t>
      </w:r>
      <w:r>
        <w:rPr>
          <w:color w:val="231F20"/>
          <w:spacing w:val="-7"/>
          <w:sz w:val="18"/>
        </w:rPr>
        <w:t> </w:t>
      </w:r>
      <w:r>
        <w:rPr>
          <w:color w:val="231F20"/>
          <w:sz w:val="18"/>
        </w:rPr>
        <w:t>environments,</w:t>
      </w:r>
      <w:r>
        <w:rPr>
          <w:color w:val="231F20"/>
          <w:spacing w:val="-7"/>
          <w:sz w:val="18"/>
        </w:rPr>
        <w:t> </w:t>
      </w:r>
      <w:r>
        <w:rPr>
          <w:color w:val="231F20"/>
          <w:sz w:val="18"/>
        </w:rPr>
        <w:t>and</w:t>
      </w:r>
      <w:r>
        <w:rPr>
          <w:color w:val="231F20"/>
          <w:spacing w:val="-7"/>
          <w:sz w:val="18"/>
        </w:rPr>
        <w:t> </w:t>
      </w:r>
      <w:r>
        <w:rPr>
          <w:color w:val="231F20"/>
          <w:sz w:val="18"/>
        </w:rPr>
        <w:t>are</w:t>
      </w:r>
      <w:r>
        <w:rPr>
          <w:color w:val="231F20"/>
          <w:spacing w:val="-7"/>
          <w:sz w:val="18"/>
        </w:rPr>
        <w:t> </w:t>
      </w:r>
      <w:r>
        <w:rPr>
          <w:color w:val="231F20"/>
          <w:sz w:val="18"/>
        </w:rPr>
        <w:t>classified</w:t>
      </w:r>
      <w:r>
        <w:rPr>
          <w:color w:val="231F20"/>
          <w:spacing w:val="-7"/>
          <w:sz w:val="18"/>
        </w:rPr>
        <w:t> </w:t>
      </w:r>
      <w:r>
        <w:rPr>
          <w:color w:val="231F20"/>
          <w:sz w:val="18"/>
        </w:rPr>
        <w:t>according</w:t>
      </w:r>
      <w:r>
        <w:rPr>
          <w:color w:val="231F20"/>
          <w:spacing w:val="-7"/>
          <w:sz w:val="18"/>
        </w:rPr>
        <w:t> </w:t>
      </w:r>
      <w:r>
        <w:rPr>
          <w:color w:val="231F20"/>
          <w:sz w:val="18"/>
        </w:rPr>
        <w:t>to</w:t>
      </w:r>
      <w:r>
        <w:rPr>
          <w:color w:val="231F20"/>
          <w:spacing w:val="-7"/>
          <w:sz w:val="18"/>
        </w:rPr>
        <w:t> </w:t>
      </w:r>
      <w:r>
        <w:rPr>
          <w:color w:val="231F20"/>
          <w:sz w:val="18"/>
        </w:rPr>
        <w:t>base</w:t>
      </w:r>
      <w:r>
        <w:rPr>
          <w:color w:val="231F20"/>
          <w:spacing w:val="-7"/>
          <w:sz w:val="18"/>
        </w:rPr>
        <w:t> </w:t>
      </w:r>
      <w:r>
        <w:rPr>
          <w:color w:val="231F20"/>
          <w:sz w:val="18"/>
        </w:rPr>
        <w:t>metal</w:t>
      </w:r>
      <w:r>
        <w:rPr>
          <w:color w:val="231F20"/>
          <w:spacing w:val="-7"/>
          <w:sz w:val="18"/>
        </w:rPr>
        <w:t> </w:t>
      </w:r>
      <w:r>
        <w:rPr>
          <w:color w:val="231F20"/>
          <w:sz w:val="18"/>
        </w:rPr>
        <w:t>content,</w:t>
      </w:r>
      <w:r>
        <w:rPr>
          <w:color w:val="231F20"/>
          <w:spacing w:val="-7"/>
          <w:sz w:val="18"/>
        </w:rPr>
        <w:t> </w:t>
      </w:r>
      <w:r>
        <w:rPr>
          <w:color w:val="231F20"/>
          <w:sz w:val="18"/>
        </w:rPr>
        <w:t>gold</w:t>
      </w:r>
      <w:r>
        <w:rPr>
          <w:color w:val="231F20"/>
          <w:spacing w:val="-7"/>
          <w:sz w:val="18"/>
        </w:rPr>
        <w:t> </w:t>
      </w:r>
      <w:r>
        <w:rPr>
          <w:color w:val="231F20"/>
          <w:sz w:val="18"/>
        </w:rPr>
        <w:t>con- tent, or host-rock lithology. There are close to 350 known VMS deposits in Canada and over 800 known worldwide. Historically, they account for 27% of Canada’s Cu production, 49% of its Zn, 20% of its Pb, 40% of its Ag, and 3% of its Au. They are discovered in submarine volcanic terranes that range in age from 3.4 Ga to actively forming deposits in modern seafloor environments. The most common feature among all types of VMS deposits is that they are formed in extensional tectonic settings, including both oceanic seafloor spreading and arc environments. Most ancient VMS deposits that are still preserved in the geological record formed mainly in oceanic and continental nascent-arc, rifted- arc,</w:t>
      </w:r>
      <w:r>
        <w:rPr>
          <w:color w:val="231F20"/>
          <w:spacing w:val="-8"/>
          <w:sz w:val="18"/>
        </w:rPr>
        <w:t> </w:t>
      </w:r>
      <w:r>
        <w:rPr>
          <w:color w:val="231F20"/>
          <w:sz w:val="18"/>
        </w:rPr>
        <w:t>and</w:t>
      </w:r>
      <w:r>
        <w:rPr>
          <w:color w:val="231F20"/>
          <w:spacing w:val="-8"/>
          <w:sz w:val="18"/>
        </w:rPr>
        <w:t> </w:t>
      </w:r>
      <w:r>
        <w:rPr>
          <w:color w:val="231F20"/>
          <w:sz w:val="18"/>
        </w:rPr>
        <w:t>back-arc</w:t>
      </w:r>
      <w:r>
        <w:rPr>
          <w:color w:val="231F20"/>
          <w:spacing w:val="-8"/>
          <w:sz w:val="18"/>
        </w:rPr>
        <w:t> </w:t>
      </w:r>
      <w:r>
        <w:rPr>
          <w:color w:val="231F20"/>
          <w:sz w:val="18"/>
        </w:rPr>
        <w:t>settings.</w:t>
      </w:r>
      <w:r>
        <w:rPr>
          <w:color w:val="231F20"/>
          <w:spacing w:val="-8"/>
          <w:sz w:val="18"/>
        </w:rPr>
        <w:t> </w:t>
      </w:r>
      <w:r>
        <w:rPr>
          <w:color w:val="231F20"/>
          <w:sz w:val="18"/>
        </w:rPr>
        <w:t>Primitive</w:t>
      </w:r>
      <w:r>
        <w:rPr>
          <w:color w:val="231F20"/>
          <w:spacing w:val="-8"/>
          <w:sz w:val="18"/>
        </w:rPr>
        <w:t> </w:t>
      </w:r>
      <w:r>
        <w:rPr>
          <w:color w:val="231F20"/>
          <w:sz w:val="18"/>
        </w:rPr>
        <w:t>bimodal</w:t>
      </w:r>
      <w:r>
        <w:rPr>
          <w:color w:val="231F20"/>
          <w:spacing w:val="-8"/>
          <w:sz w:val="18"/>
        </w:rPr>
        <w:t> </w:t>
      </w:r>
      <w:r>
        <w:rPr>
          <w:color w:val="231F20"/>
          <w:sz w:val="18"/>
        </w:rPr>
        <w:t>mafic</w:t>
      </w:r>
      <w:r>
        <w:rPr>
          <w:color w:val="231F20"/>
          <w:spacing w:val="-8"/>
          <w:sz w:val="18"/>
        </w:rPr>
        <w:t> </w:t>
      </w:r>
      <w:r>
        <w:rPr>
          <w:color w:val="231F20"/>
          <w:sz w:val="18"/>
        </w:rPr>
        <w:t>volcanic-dominated</w:t>
      </w:r>
      <w:r>
        <w:rPr>
          <w:color w:val="231F20"/>
          <w:spacing w:val="-8"/>
          <w:sz w:val="18"/>
        </w:rPr>
        <w:t> </w:t>
      </w:r>
      <w:r>
        <w:rPr>
          <w:color w:val="231F20"/>
          <w:sz w:val="18"/>
        </w:rPr>
        <w:t>oceanic</w:t>
      </w:r>
      <w:r>
        <w:rPr>
          <w:color w:val="231F20"/>
          <w:spacing w:val="-8"/>
          <w:sz w:val="18"/>
        </w:rPr>
        <w:t> </w:t>
      </w:r>
      <w:r>
        <w:rPr>
          <w:color w:val="231F20"/>
          <w:sz w:val="18"/>
        </w:rPr>
        <w:t>rifted</w:t>
      </w:r>
      <w:r>
        <w:rPr>
          <w:color w:val="231F20"/>
          <w:spacing w:val="-8"/>
          <w:sz w:val="18"/>
        </w:rPr>
        <w:t> </w:t>
      </w:r>
      <w:r>
        <w:rPr>
          <w:color w:val="231F20"/>
          <w:sz w:val="18"/>
        </w:rPr>
        <w:t>arc</w:t>
      </w:r>
      <w:r>
        <w:rPr>
          <w:color w:val="231F20"/>
          <w:spacing w:val="-8"/>
          <w:sz w:val="18"/>
        </w:rPr>
        <w:t> </w:t>
      </w:r>
      <w:r>
        <w:rPr>
          <w:color w:val="231F20"/>
          <w:sz w:val="18"/>
        </w:rPr>
        <w:t>and</w:t>
      </w:r>
      <w:r>
        <w:rPr>
          <w:color w:val="231F20"/>
          <w:spacing w:val="-8"/>
          <w:sz w:val="18"/>
        </w:rPr>
        <w:t> </w:t>
      </w:r>
      <w:r>
        <w:rPr>
          <w:color w:val="231F20"/>
          <w:sz w:val="18"/>
        </w:rPr>
        <w:t>bimodal</w:t>
      </w:r>
      <w:r>
        <w:rPr>
          <w:color w:val="231F20"/>
          <w:spacing w:val="-8"/>
          <w:sz w:val="18"/>
        </w:rPr>
        <w:t> </w:t>
      </w:r>
      <w:r>
        <w:rPr>
          <w:color w:val="231F20"/>
          <w:sz w:val="18"/>
        </w:rPr>
        <w:t>felsic-dominated siliciclastic continental back-arc terranes contain some of the </w:t>
      </w:r>
      <w:r>
        <w:rPr>
          <w:color w:val="231F20"/>
          <w:spacing w:val="-3"/>
          <w:sz w:val="18"/>
        </w:rPr>
        <w:t>world’s </w:t>
      </w:r>
      <w:r>
        <w:rPr>
          <w:color w:val="231F20"/>
          <w:sz w:val="18"/>
        </w:rPr>
        <w:t>most economically important VMS districts. Most,</w:t>
      </w:r>
      <w:r>
        <w:rPr>
          <w:color w:val="231F20"/>
          <w:spacing w:val="-4"/>
          <w:sz w:val="18"/>
        </w:rPr>
        <w:t> </w:t>
      </w:r>
      <w:r>
        <w:rPr>
          <w:color w:val="231F20"/>
          <w:sz w:val="18"/>
        </w:rPr>
        <w:t>but</w:t>
      </w:r>
      <w:r>
        <w:rPr>
          <w:color w:val="231F20"/>
          <w:spacing w:val="-4"/>
          <w:sz w:val="18"/>
        </w:rPr>
        <w:t> </w:t>
      </w:r>
      <w:r>
        <w:rPr>
          <w:color w:val="231F20"/>
          <w:sz w:val="18"/>
        </w:rPr>
        <w:t>not</w:t>
      </w:r>
      <w:r>
        <w:rPr>
          <w:color w:val="231F20"/>
          <w:spacing w:val="-4"/>
          <w:sz w:val="18"/>
        </w:rPr>
        <w:t> </w:t>
      </w:r>
      <w:r>
        <w:rPr>
          <w:color w:val="231F20"/>
          <w:sz w:val="18"/>
        </w:rPr>
        <w:t>all,</w:t>
      </w:r>
      <w:r>
        <w:rPr>
          <w:color w:val="231F20"/>
          <w:spacing w:val="-4"/>
          <w:sz w:val="18"/>
        </w:rPr>
        <w:t> </w:t>
      </w:r>
      <w:r>
        <w:rPr>
          <w:color w:val="231F20"/>
          <w:sz w:val="18"/>
        </w:rPr>
        <w:t>significant</w:t>
      </w:r>
      <w:r>
        <w:rPr>
          <w:color w:val="231F20"/>
          <w:spacing w:val="-7"/>
          <w:sz w:val="18"/>
        </w:rPr>
        <w:t> </w:t>
      </w:r>
      <w:r>
        <w:rPr>
          <w:color w:val="231F20"/>
          <w:sz w:val="18"/>
        </w:rPr>
        <w:t>VMS</w:t>
      </w:r>
      <w:r>
        <w:rPr>
          <w:color w:val="231F20"/>
          <w:spacing w:val="-4"/>
          <w:sz w:val="18"/>
        </w:rPr>
        <w:t> </w:t>
      </w:r>
      <w:r>
        <w:rPr>
          <w:color w:val="231F20"/>
          <w:sz w:val="18"/>
        </w:rPr>
        <w:t>mining</w:t>
      </w:r>
      <w:r>
        <w:rPr>
          <w:color w:val="231F20"/>
          <w:spacing w:val="-4"/>
          <w:sz w:val="18"/>
        </w:rPr>
        <w:t> </w:t>
      </w:r>
      <w:r>
        <w:rPr>
          <w:color w:val="231F20"/>
          <w:sz w:val="18"/>
        </w:rPr>
        <w:t>districts</w:t>
      </w:r>
      <w:r>
        <w:rPr>
          <w:color w:val="231F20"/>
          <w:spacing w:val="-4"/>
          <w:sz w:val="18"/>
        </w:rPr>
        <w:t> </w:t>
      </w:r>
      <w:r>
        <w:rPr>
          <w:color w:val="231F20"/>
          <w:sz w:val="18"/>
        </w:rPr>
        <w:t>are</w:t>
      </w:r>
      <w:r>
        <w:rPr>
          <w:color w:val="231F20"/>
          <w:spacing w:val="-4"/>
          <w:sz w:val="18"/>
        </w:rPr>
        <w:t> </w:t>
      </w:r>
      <w:r>
        <w:rPr>
          <w:color w:val="231F20"/>
          <w:sz w:val="18"/>
        </w:rPr>
        <w:t>defined</w:t>
      </w:r>
      <w:r>
        <w:rPr>
          <w:color w:val="231F20"/>
          <w:spacing w:val="-4"/>
          <w:sz w:val="18"/>
        </w:rPr>
        <w:t> </w:t>
      </w:r>
      <w:r>
        <w:rPr>
          <w:color w:val="231F20"/>
          <w:sz w:val="18"/>
        </w:rPr>
        <w:t>by</w:t>
      </w:r>
      <w:r>
        <w:rPr>
          <w:color w:val="231F20"/>
          <w:spacing w:val="-4"/>
          <w:sz w:val="18"/>
        </w:rPr>
        <w:t> </w:t>
      </w:r>
      <w:r>
        <w:rPr>
          <w:color w:val="231F20"/>
          <w:sz w:val="18"/>
        </w:rPr>
        <w:t>deposit</w:t>
      </w:r>
      <w:r>
        <w:rPr>
          <w:color w:val="231F20"/>
          <w:spacing w:val="-4"/>
          <w:sz w:val="18"/>
        </w:rPr>
        <w:t> </w:t>
      </w:r>
      <w:r>
        <w:rPr>
          <w:color w:val="231F20"/>
          <w:sz w:val="18"/>
        </w:rPr>
        <w:t>clusters</w:t>
      </w:r>
      <w:r>
        <w:rPr>
          <w:color w:val="231F20"/>
          <w:spacing w:val="-4"/>
          <w:sz w:val="18"/>
        </w:rPr>
        <w:t> </w:t>
      </w:r>
      <w:r>
        <w:rPr>
          <w:color w:val="231F20"/>
          <w:sz w:val="18"/>
        </w:rPr>
        <w:t>formed</w:t>
      </w:r>
      <w:r>
        <w:rPr>
          <w:color w:val="231F20"/>
          <w:spacing w:val="-4"/>
          <w:sz w:val="18"/>
        </w:rPr>
        <w:t> </w:t>
      </w:r>
      <w:r>
        <w:rPr>
          <w:color w:val="231F20"/>
          <w:sz w:val="18"/>
        </w:rPr>
        <w:t>within</w:t>
      </w:r>
      <w:r>
        <w:rPr>
          <w:color w:val="231F20"/>
          <w:spacing w:val="-4"/>
          <w:sz w:val="18"/>
        </w:rPr>
        <w:t> </w:t>
      </w:r>
      <w:r>
        <w:rPr>
          <w:color w:val="231F20"/>
          <w:sz w:val="18"/>
        </w:rPr>
        <w:t>rifts</w:t>
      </w:r>
      <w:r>
        <w:rPr>
          <w:color w:val="231F20"/>
          <w:spacing w:val="-4"/>
          <w:sz w:val="18"/>
        </w:rPr>
        <w:t> </w:t>
      </w:r>
      <w:r>
        <w:rPr>
          <w:color w:val="231F20"/>
          <w:sz w:val="18"/>
        </w:rPr>
        <w:t>or</w:t>
      </w:r>
      <w:r>
        <w:rPr>
          <w:color w:val="231F20"/>
          <w:spacing w:val="-4"/>
          <w:sz w:val="18"/>
        </w:rPr>
        <w:t> </w:t>
      </w:r>
      <w:r>
        <w:rPr>
          <w:color w:val="231F20"/>
          <w:sz w:val="18"/>
        </w:rPr>
        <w:t>calderas.</w:t>
      </w:r>
      <w:r>
        <w:rPr>
          <w:color w:val="231F20"/>
          <w:spacing w:val="-7"/>
          <w:sz w:val="18"/>
        </w:rPr>
        <w:t> </w:t>
      </w:r>
      <w:r>
        <w:rPr>
          <w:color w:val="231F20"/>
          <w:sz w:val="18"/>
        </w:rPr>
        <w:t>Their clustering is further attributed to a common heat source that triggers large-scale subseafloor fluid convection systems. These</w:t>
      </w:r>
      <w:r>
        <w:rPr>
          <w:color w:val="231F20"/>
          <w:spacing w:val="-7"/>
          <w:sz w:val="18"/>
        </w:rPr>
        <w:t> </w:t>
      </w:r>
      <w:r>
        <w:rPr>
          <w:color w:val="231F20"/>
          <w:sz w:val="18"/>
        </w:rPr>
        <w:t>subvolcanic</w:t>
      </w:r>
      <w:r>
        <w:rPr>
          <w:color w:val="231F20"/>
          <w:spacing w:val="-7"/>
          <w:sz w:val="18"/>
        </w:rPr>
        <w:t> </w:t>
      </w:r>
      <w:r>
        <w:rPr>
          <w:color w:val="231F20"/>
          <w:sz w:val="18"/>
        </w:rPr>
        <w:t>intrusions</w:t>
      </w:r>
      <w:r>
        <w:rPr>
          <w:color w:val="231F20"/>
          <w:spacing w:val="-7"/>
          <w:sz w:val="18"/>
        </w:rPr>
        <w:t> </w:t>
      </w:r>
      <w:r>
        <w:rPr>
          <w:color w:val="231F20"/>
          <w:sz w:val="18"/>
        </w:rPr>
        <w:t>may</w:t>
      </w:r>
      <w:r>
        <w:rPr>
          <w:color w:val="231F20"/>
          <w:spacing w:val="-7"/>
          <w:sz w:val="18"/>
        </w:rPr>
        <w:t> </w:t>
      </w:r>
      <w:r>
        <w:rPr>
          <w:color w:val="231F20"/>
          <w:sz w:val="18"/>
        </w:rPr>
        <w:t>also</w:t>
      </w:r>
      <w:r>
        <w:rPr>
          <w:color w:val="231F20"/>
          <w:spacing w:val="-7"/>
          <w:sz w:val="18"/>
        </w:rPr>
        <w:t> </w:t>
      </w:r>
      <w:r>
        <w:rPr>
          <w:color w:val="231F20"/>
          <w:sz w:val="18"/>
        </w:rPr>
        <w:t>supply</w:t>
      </w:r>
      <w:r>
        <w:rPr>
          <w:color w:val="231F20"/>
          <w:spacing w:val="-7"/>
          <w:sz w:val="18"/>
        </w:rPr>
        <w:t> </w:t>
      </w:r>
      <w:r>
        <w:rPr>
          <w:color w:val="231F20"/>
          <w:sz w:val="18"/>
        </w:rPr>
        <w:t>metals</w:t>
      </w:r>
      <w:r>
        <w:rPr>
          <w:color w:val="231F20"/>
          <w:spacing w:val="-7"/>
          <w:sz w:val="18"/>
        </w:rPr>
        <w:t> </w:t>
      </w:r>
      <w:r>
        <w:rPr>
          <w:color w:val="231F20"/>
          <w:sz w:val="18"/>
        </w:rPr>
        <w:t>to</w:t>
      </w:r>
      <w:r>
        <w:rPr>
          <w:color w:val="231F20"/>
          <w:spacing w:val="-7"/>
          <w:sz w:val="18"/>
        </w:rPr>
        <w:t> </w:t>
      </w:r>
      <w:r>
        <w:rPr>
          <w:color w:val="231F20"/>
          <w:sz w:val="18"/>
        </w:rPr>
        <w:t>the</w:t>
      </w:r>
      <w:r>
        <w:rPr>
          <w:color w:val="231F20"/>
          <w:spacing w:val="-11"/>
          <w:sz w:val="18"/>
        </w:rPr>
        <w:t> </w:t>
      </w:r>
      <w:r>
        <w:rPr>
          <w:color w:val="231F20"/>
          <w:sz w:val="18"/>
        </w:rPr>
        <w:t>VMS</w:t>
      </w:r>
      <w:r>
        <w:rPr>
          <w:color w:val="231F20"/>
          <w:spacing w:val="-7"/>
          <w:sz w:val="18"/>
        </w:rPr>
        <w:t> </w:t>
      </w:r>
      <w:r>
        <w:rPr>
          <w:color w:val="231F20"/>
          <w:sz w:val="18"/>
        </w:rPr>
        <w:t>hydrothermal</w:t>
      </w:r>
      <w:r>
        <w:rPr>
          <w:color w:val="231F20"/>
          <w:spacing w:val="-7"/>
          <w:sz w:val="18"/>
        </w:rPr>
        <w:t> </w:t>
      </w:r>
      <w:r>
        <w:rPr>
          <w:color w:val="231F20"/>
          <w:sz w:val="18"/>
        </w:rPr>
        <w:t>systems</w:t>
      </w:r>
      <w:r>
        <w:rPr>
          <w:color w:val="231F20"/>
          <w:spacing w:val="-7"/>
          <w:sz w:val="18"/>
        </w:rPr>
        <w:t> </w:t>
      </w:r>
      <w:r>
        <w:rPr>
          <w:color w:val="231F20"/>
          <w:sz w:val="18"/>
        </w:rPr>
        <w:t>through</w:t>
      </w:r>
      <w:r>
        <w:rPr>
          <w:color w:val="231F20"/>
          <w:spacing w:val="-7"/>
          <w:sz w:val="18"/>
        </w:rPr>
        <w:t> </w:t>
      </w:r>
      <w:r>
        <w:rPr>
          <w:color w:val="231F20"/>
          <w:sz w:val="18"/>
        </w:rPr>
        <w:t>magmatic</w:t>
      </w:r>
      <w:r>
        <w:rPr>
          <w:color w:val="231F20"/>
          <w:spacing w:val="-7"/>
          <w:sz w:val="18"/>
        </w:rPr>
        <w:t> </w:t>
      </w:r>
      <w:r>
        <w:rPr>
          <w:color w:val="231F20"/>
          <w:sz w:val="18"/>
        </w:rPr>
        <w:t>devolatiliza- tion. As a result of large-scale fluid </w:t>
      </w:r>
      <w:r>
        <w:rPr>
          <w:color w:val="231F20"/>
          <w:spacing w:val="-3"/>
          <w:sz w:val="18"/>
        </w:rPr>
        <w:t>flow, </w:t>
      </w:r>
      <w:r>
        <w:rPr>
          <w:color w:val="231F20"/>
          <w:sz w:val="18"/>
        </w:rPr>
        <w:t>VMS mining districts are commonly characterized by extensive semi-con- formable zones of hydrothermal alteration that intensifies into zones of discordant alteration in the immediate footwall and hanging wall of individual deposits. VMS camps can be further characterized by the presence of thin, but areally extensive, units of ferruginous chemical sediment formed from exhalation of fluids and distribution of hydrothermal particulates.</w:t>
      </w:r>
    </w:p>
    <w:p>
      <w:pPr>
        <w:pStyle w:val="Heading1"/>
        <w:spacing w:before="104"/>
        <w:ind w:left="5764"/>
      </w:pPr>
      <w:r>
        <w:rPr>
          <w:color w:val="231F20"/>
        </w:rPr>
        <w:t>Résumé</w:t>
      </w:r>
    </w:p>
    <w:p>
      <w:pPr>
        <w:spacing w:line="230" w:lineRule="auto" w:before="74"/>
        <w:ind w:left="1819" w:right="1847" w:firstLine="288"/>
        <w:jc w:val="both"/>
        <w:rPr>
          <w:sz w:val="18"/>
        </w:rPr>
      </w:pPr>
      <w:r>
        <w:rPr>
          <w:color w:val="231F20"/>
          <w:sz w:val="18"/>
        </w:rPr>
        <w:t>Les gîtes de sulfures massifs volcanogènes (SMV) sont connus sous diverses appellations parmi lesquelles on peut mentionner les gîtes de sulfures massifs associés à des roches volcaniques, encaissés dans des roches volcaniques ou logés dans des assemblages volcano-sédimentaires. Ils constituent des sources considérables de Zn, Cu, Pb, Ag et Au, ainsi que des sources importantes de Co, Sn, Se, Mn, Cd, In, Bi, </w:t>
      </w:r>
      <w:r>
        <w:rPr>
          <w:color w:val="231F20"/>
          <w:spacing w:val="-5"/>
          <w:sz w:val="18"/>
        </w:rPr>
        <w:t>Te, </w:t>
      </w:r>
      <w:r>
        <w:rPr>
          <w:color w:val="231F20"/>
          <w:sz w:val="18"/>
        </w:rPr>
        <w:t>Ga et Ge. Ils consistent généralement en lentilles de sulfures massifs polymétalliques formées dans des milieux volcaniques sous-marins, au sein ou à proximité du fond océanique, et sont classés d’après leur contenu en métaux communs ou en or ou selon la lithologie des roches encais- santes. Près de 350 gîtes SMV ont été découverts au Canada et plus de 800, de par le monde. Dans l’histoire de la pro- duction minière du Canada, 27 % du cuivre, 49 % du zinc, 20 % du plomb, 40 % de l’argent et 3 % de l’or ont été extraits de gisements </w:t>
      </w:r>
      <w:r>
        <w:rPr>
          <w:color w:val="231F20"/>
          <w:spacing w:val="-7"/>
          <w:sz w:val="18"/>
        </w:rPr>
        <w:t>SMV. </w:t>
      </w:r>
      <w:r>
        <w:rPr>
          <w:color w:val="231F20"/>
          <w:sz w:val="18"/>
        </w:rPr>
        <w:t>On trouve de tels gîtes aussi bien dans des terrains volcaniques sous-marins datant de 3,4 Ga que dans les fonds océaniques actuels où de nouveaux gîtes sont en cours de formation. La caractéristique la plus commune à tous les gîtes de SMV tient à leur formation dans des milieux tectoniques de distension, parmi lesquels on peut mentionner les fonds océaniques en expansion et les arcs. La plupart des anciens gîtes SMV conservés dans les archives géologiques se sont formés dans des milieux océaniques et continentaux d’arc naissant, d’arc de divergence  et</w:t>
      </w:r>
      <w:r>
        <w:rPr>
          <w:color w:val="231F20"/>
          <w:spacing w:val="-3"/>
          <w:sz w:val="18"/>
        </w:rPr>
        <w:t> </w:t>
      </w:r>
      <w:r>
        <w:rPr>
          <w:color w:val="231F20"/>
          <w:sz w:val="18"/>
        </w:rPr>
        <w:t>d’arrière-arc.</w:t>
      </w:r>
      <w:r>
        <w:rPr>
          <w:color w:val="231F20"/>
          <w:spacing w:val="-3"/>
          <w:sz w:val="18"/>
        </w:rPr>
        <w:t> </w:t>
      </w:r>
      <w:r>
        <w:rPr>
          <w:color w:val="231F20"/>
          <w:sz w:val="18"/>
        </w:rPr>
        <w:t>Quelques-uns</w:t>
      </w:r>
      <w:r>
        <w:rPr>
          <w:color w:val="231F20"/>
          <w:spacing w:val="-3"/>
          <w:sz w:val="18"/>
        </w:rPr>
        <w:t> </w:t>
      </w:r>
      <w:r>
        <w:rPr>
          <w:color w:val="231F20"/>
          <w:sz w:val="18"/>
        </w:rPr>
        <w:t>des</w:t>
      </w:r>
      <w:r>
        <w:rPr>
          <w:color w:val="231F20"/>
          <w:spacing w:val="-3"/>
          <w:sz w:val="18"/>
        </w:rPr>
        <w:t> </w:t>
      </w:r>
      <w:r>
        <w:rPr>
          <w:color w:val="231F20"/>
          <w:sz w:val="18"/>
        </w:rPr>
        <w:t>districts</w:t>
      </w:r>
      <w:r>
        <w:rPr>
          <w:color w:val="231F20"/>
          <w:spacing w:val="-3"/>
          <w:sz w:val="18"/>
        </w:rPr>
        <w:t> </w:t>
      </w:r>
      <w:r>
        <w:rPr>
          <w:color w:val="231F20"/>
          <w:sz w:val="18"/>
        </w:rPr>
        <w:t>à</w:t>
      </w:r>
      <w:r>
        <w:rPr>
          <w:color w:val="231F20"/>
          <w:spacing w:val="-3"/>
          <w:sz w:val="18"/>
        </w:rPr>
        <w:t> </w:t>
      </w:r>
      <w:r>
        <w:rPr>
          <w:color w:val="231F20"/>
          <w:sz w:val="18"/>
        </w:rPr>
        <w:t>gisements</w:t>
      </w:r>
      <w:r>
        <w:rPr>
          <w:color w:val="231F20"/>
          <w:spacing w:val="-3"/>
          <w:sz w:val="18"/>
        </w:rPr>
        <w:t> </w:t>
      </w:r>
      <w:r>
        <w:rPr>
          <w:color w:val="231F20"/>
          <w:sz w:val="18"/>
        </w:rPr>
        <w:t>SMV</w:t>
      </w:r>
      <w:r>
        <w:rPr>
          <w:color w:val="231F20"/>
          <w:spacing w:val="-6"/>
          <w:sz w:val="18"/>
        </w:rPr>
        <w:t> </w:t>
      </w:r>
      <w:r>
        <w:rPr>
          <w:color w:val="231F20"/>
          <w:sz w:val="18"/>
        </w:rPr>
        <w:t>les</w:t>
      </w:r>
      <w:r>
        <w:rPr>
          <w:color w:val="231F20"/>
          <w:spacing w:val="-3"/>
          <w:sz w:val="18"/>
        </w:rPr>
        <w:t> </w:t>
      </w:r>
      <w:r>
        <w:rPr>
          <w:color w:val="231F20"/>
          <w:sz w:val="18"/>
        </w:rPr>
        <w:t>plus</w:t>
      </w:r>
      <w:r>
        <w:rPr>
          <w:color w:val="231F20"/>
          <w:spacing w:val="-3"/>
          <w:sz w:val="18"/>
        </w:rPr>
        <w:t> </w:t>
      </w:r>
      <w:r>
        <w:rPr>
          <w:color w:val="231F20"/>
          <w:sz w:val="18"/>
        </w:rPr>
        <w:t>importants</w:t>
      </w:r>
      <w:r>
        <w:rPr>
          <w:color w:val="231F20"/>
          <w:spacing w:val="-3"/>
          <w:sz w:val="18"/>
        </w:rPr>
        <w:t> </w:t>
      </w:r>
      <w:r>
        <w:rPr>
          <w:color w:val="231F20"/>
          <w:sz w:val="18"/>
        </w:rPr>
        <w:t>dans</w:t>
      </w:r>
      <w:r>
        <w:rPr>
          <w:color w:val="231F20"/>
          <w:spacing w:val="-3"/>
          <w:sz w:val="18"/>
        </w:rPr>
        <w:t> </w:t>
      </w:r>
      <w:r>
        <w:rPr>
          <w:color w:val="231F20"/>
          <w:sz w:val="18"/>
        </w:rPr>
        <w:t>le</w:t>
      </w:r>
      <w:r>
        <w:rPr>
          <w:color w:val="231F20"/>
          <w:spacing w:val="-3"/>
          <w:sz w:val="18"/>
        </w:rPr>
        <w:t> </w:t>
      </w:r>
      <w:r>
        <w:rPr>
          <w:color w:val="231F20"/>
          <w:sz w:val="18"/>
        </w:rPr>
        <w:t>monde</w:t>
      </w:r>
      <w:r>
        <w:rPr>
          <w:color w:val="231F20"/>
          <w:spacing w:val="-3"/>
          <w:sz w:val="18"/>
        </w:rPr>
        <w:t> </w:t>
      </w:r>
      <w:r>
        <w:rPr>
          <w:color w:val="231F20"/>
          <w:sz w:val="18"/>
        </w:rPr>
        <w:t>sur</w:t>
      </w:r>
      <w:r>
        <w:rPr>
          <w:color w:val="231F20"/>
          <w:spacing w:val="-3"/>
          <w:sz w:val="18"/>
        </w:rPr>
        <w:t> </w:t>
      </w:r>
      <w:r>
        <w:rPr>
          <w:color w:val="231F20"/>
          <w:sz w:val="18"/>
        </w:rPr>
        <w:t>le</w:t>
      </w:r>
      <w:r>
        <w:rPr>
          <w:color w:val="231F20"/>
          <w:spacing w:val="-3"/>
          <w:sz w:val="18"/>
        </w:rPr>
        <w:t> </w:t>
      </w:r>
      <w:r>
        <w:rPr>
          <w:color w:val="231F20"/>
          <w:sz w:val="18"/>
        </w:rPr>
        <w:t>plan</w:t>
      </w:r>
      <w:r>
        <w:rPr>
          <w:color w:val="231F20"/>
          <w:spacing w:val="-3"/>
          <w:sz w:val="18"/>
        </w:rPr>
        <w:t> </w:t>
      </w:r>
      <w:r>
        <w:rPr>
          <w:color w:val="231F20"/>
          <w:sz w:val="18"/>
        </w:rPr>
        <w:t>économique se trouvent dans des terrains océaniques primitifs d’arc de divergence caractérisés par un volcanisme bimodal à domi- nante</w:t>
      </w:r>
      <w:r>
        <w:rPr>
          <w:color w:val="231F20"/>
          <w:spacing w:val="-6"/>
          <w:sz w:val="18"/>
        </w:rPr>
        <w:t> </w:t>
      </w:r>
      <w:r>
        <w:rPr>
          <w:color w:val="231F20"/>
          <w:sz w:val="18"/>
        </w:rPr>
        <w:t>mafique,</w:t>
      </w:r>
      <w:r>
        <w:rPr>
          <w:color w:val="231F20"/>
          <w:spacing w:val="-6"/>
          <w:sz w:val="18"/>
        </w:rPr>
        <w:t> </w:t>
      </w:r>
      <w:r>
        <w:rPr>
          <w:color w:val="231F20"/>
          <w:sz w:val="18"/>
        </w:rPr>
        <w:t>de</w:t>
      </w:r>
      <w:r>
        <w:rPr>
          <w:color w:val="231F20"/>
          <w:spacing w:val="-6"/>
          <w:sz w:val="18"/>
        </w:rPr>
        <w:t> </w:t>
      </w:r>
      <w:r>
        <w:rPr>
          <w:color w:val="231F20"/>
          <w:sz w:val="18"/>
        </w:rPr>
        <w:t>même</w:t>
      </w:r>
      <w:r>
        <w:rPr>
          <w:color w:val="231F20"/>
          <w:spacing w:val="-6"/>
          <w:sz w:val="18"/>
        </w:rPr>
        <w:t> </w:t>
      </w:r>
      <w:r>
        <w:rPr>
          <w:color w:val="231F20"/>
          <w:sz w:val="18"/>
        </w:rPr>
        <w:t>que</w:t>
      </w:r>
      <w:r>
        <w:rPr>
          <w:color w:val="231F20"/>
          <w:spacing w:val="-6"/>
          <w:sz w:val="18"/>
        </w:rPr>
        <w:t> </w:t>
      </w:r>
      <w:r>
        <w:rPr>
          <w:color w:val="231F20"/>
          <w:sz w:val="18"/>
        </w:rPr>
        <w:t>dans</w:t>
      </w:r>
      <w:r>
        <w:rPr>
          <w:color w:val="231F20"/>
          <w:spacing w:val="-6"/>
          <w:sz w:val="18"/>
        </w:rPr>
        <w:t> </w:t>
      </w:r>
      <w:r>
        <w:rPr>
          <w:color w:val="231F20"/>
          <w:sz w:val="18"/>
        </w:rPr>
        <w:t>des</w:t>
      </w:r>
      <w:r>
        <w:rPr>
          <w:color w:val="231F20"/>
          <w:spacing w:val="-6"/>
          <w:sz w:val="18"/>
        </w:rPr>
        <w:t> </w:t>
      </w:r>
      <w:r>
        <w:rPr>
          <w:color w:val="231F20"/>
          <w:sz w:val="18"/>
        </w:rPr>
        <w:t>terrains</w:t>
      </w:r>
      <w:r>
        <w:rPr>
          <w:color w:val="231F20"/>
          <w:spacing w:val="-6"/>
          <w:sz w:val="18"/>
        </w:rPr>
        <w:t> </w:t>
      </w:r>
      <w:r>
        <w:rPr>
          <w:color w:val="231F20"/>
          <w:sz w:val="18"/>
        </w:rPr>
        <w:t>continentaux</w:t>
      </w:r>
      <w:r>
        <w:rPr>
          <w:color w:val="231F20"/>
          <w:spacing w:val="-6"/>
          <w:sz w:val="18"/>
        </w:rPr>
        <w:t> </w:t>
      </w:r>
      <w:r>
        <w:rPr>
          <w:color w:val="231F20"/>
          <w:sz w:val="18"/>
        </w:rPr>
        <w:t>d’arrière</w:t>
      </w:r>
      <w:r>
        <w:rPr>
          <w:color w:val="231F20"/>
          <w:spacing w:val="-6"/>
          <w:sz w:val="18"/>
        </w:rPr>
        <w:t> </w:t>
      </w:r>
      <w:r>
        <w:rPr>
          <w:color w:val="231F20"/>
          <w:sz w:val="18"/>
        </w:rPr>
        <w:t>arc</w:t>
      </w:r>
      <w:r>
        <w:rPr>
          <w:color w:val="231F20"/>
          <w:spacing w:val="-6"/>
          <w:sz w:val="18"/>
        </w:rPr>
        <w:t> </w:t>
      </w:r>
      <w:r>
        <w:rPr>
          <w:color w:val="231F20"/>
          <w:sz w:val="18"/>
        </w:rPr>
        <w:t>caractérisés</w:t>
      </w:r>
      <w:r>
        <w:rPr>
          <w:color w:val="231F20"/>
          <w:spacing w:val="-6"/>
          <w:sz w:val="18"/>
        </w:rPr>
        <w:t> </w:t>
      </w:r>
      <w:r>
        <w:rPr>
          <w:color w:val="231F20"/>
          <w:sz w:val="18"/>
        </w:rPr>
        <w:t>par</w:t>
      </w:r>
      <w:r>
        <w:rPr>
          <w:color w:val="231F20"/>
          <w:spacing w:val="-6"/>
          <w:sz w:val="18"/>
        </w:rPr>
        <w:t> </w:t>
      </w:r>
      <w:r>
        <w:rPr>
          <w:color w:val="231F20"/>
          <w:sz w:val="18"/>
        </w:rPr>
        <w:t>un</w:t>
      </w:r>
      <w:r>
        <w:rPr>
          <w:color w:val="231F20"/>
          <w:spacing w:val="-6"/>
          <w:sz w:val="18"/>
        </w:rPr>
        <w:t> </w:t>
      </w:r>
      <w:r>
        <w:rPr>
          <w:color w:val="231F20"/>
          <w:sz w:val="18"/>
        </w:rPr>
        <w:t>volcanisme</w:t>
      </w:r>
      <w:r>
        <w:rPr>
          <w:color w:val="231F20"/>
          <w:spacing w:val="-6"/>
          <w:sz w:val="18"/>
        </w:rPr>
        <w:t> </w:t>
      </w:r>
      <w:r>
        <w:rPr>
          <w:color w:val="231F20"/>
          <w:sz w:val="18"/>
        </w:rPr>
        <w:t>bimodal</w:t>
      </w:r>
      <w:r>
        <w:rPr>
          <w:color w:val="231F20"/>
          <w:spacing w:val="-6"/>
          <w:sz w:val="18"/>
        </w:rPr>
        <w:t> </w:t>
      </w:r>
      <w:r>
        <w:rPr>
          <w:color w:val="231F20"/>
          <w:sz w:val="18"/>
        </w:rPr>
        <w:t>à</w:t>
      </w:r>
      <w:r>
        <w:rPr>
          <w:color w:val="231F20"/>
          <w:spacing w:val="-6"/>
          <w:sz w:val="18"/>
        </w:rPr>
        <w:t> </w:t>
      </w:r>
      <w:r>
        <w:rPr>
          <w:color w:val="231F20"/>
          <w:sz w:val="18"/>
        </w:rPr>
        <w:t>dom- inante</w:t>
      </w:r>
      <w:r>
        <w:rPr>
          <w:color w:val="231F20"/>
          <w:spacing w:val="-8"/>
          <w:sz w:val="18"/>
        </w:rPr>
        <w:t> </w:t>
      </w:r>
      <w:r>
        <w:rPr>
          <w:color w:val="231F20"/>
          <w:sz w:val="18"/>
        </w:rPr>
        <w:t>felsique</w:t>
      </w:r>
      <w:r>
        <w:rPr>
          <w:color w:val="231F20"/>
          <w:spacing w:val="-8"/>
          <w:sz w:val="18"/>
        </w:rPr>
        <w:t> </w:t>
      </w:r>
      <w:r>
        <w:rPr>
          <w:color w:val="231F20"/>
          <w:sz w:val="18"/>
        </w:rPr>
        <w:t>et</w:t>
      </w:r>
      <w:r>
        <w:rPr>
          <w:color w:val="231F20"/>
          <w:spacing w:val="-8"/>
          <w:sz w:val="18"/>
        </w:rPr>
        <w:t> </w:t>
      </w:r>
      <w:r>
        <w:rPr>
          <w:color w:val="231F20"/>
          <w:sz w:val="18"/>
        </w:rPr>
        <w:t>la</w:t>
      </w:r>
      <w:r>
        <w:rPr>
          <w:color w:val="231F20"/>
          <w:spacing w:val="-8"/>
          <w:sz w:val="18"/>
        </w:rPr>
        <w:t> </w:t>
      </w:r>
      <w:r>
        <w:rPr>
          <w:color w:val="231F20"/>
          <w:sz w:val="18"/>
        </w:rPr>
        <w:t>présence</w:t>
      </w:r>
      <w:r>
        <w:rPr>
          <w:color w:val="231F20"/>
          <w:spacing w:val="-8"/>
          <w:sz w:val="18"/>
        </w:rPr>
        <w:t> </w:t>
      </w:r>
      <w:r>
        <w:rPr>
          <w:color w:val="231F20"/>
          <w:sz w:val="18"/>
        </w:rPr>
        <w:t>de</w:t>
      </w:r>
      <w:r>
        <w:rPr>
          <w:color w:val="231F20"/>
          <w:spacing w:val="-8"/>
          <w:sz w:val="18"/>
        </w:rPr>
        <w:t> </w:t>
      </w:r>
      <w:r>
        <w:rPr>
          <w:color w:val="231F20"/>
          <w:sz w:val="18"/>
        </w:rPr>
        <w:t>matériaux</w:t>
      </w:r>
      <w:r>
        <w:rPr>
          <w:color w:val="231F20"/>
          <w:spacing w:val="-8"/>
          <w:sz w:val="18"/>
        </w:rPr>
        <w:t> </w:t>
      </w:r>
      <w:r>
        <w:rPr>
          <w:color w:val="231F20"/>
          <w:sz w:val="18"/>
        </w:rPr>
        <w:t>silicoclastiques.</w:t>
      </w:r>
      <w:r>
        <w:rPr>
          <w:color w:val="231F20"/>
          <w:spacing w:val="-8"/>
          <w:sz w:val="18"/>
        </w:rPr>
        <w:t> </w:t>
      </w:r>
      <w:r>
        <w:rPr>
          <w:color w:val="231F20"/>
          <w:sz w:val="18"/>
        </w:rPr>
        <w:t>La</w:t>
      </w:r>
      <w:r>
        <w:rPr>
          <w:color w:val="231F20"/>
          <w:spacing w:val="-8"/>
          <w:sz w:val="18"/>
        </w:rPr>
        <w:t> </w:t>
      </w:r>
      <w:r>
        <w:rPr>
          <w:color w:val="231F20"/>
          <w:sz w:val="18"/>
        </w:rPr>
        <w:t>plupart</w:t>
      </w:r>
      <w:r>
        <w:rPr>
          <w:color w:val="231F20"/>
          <w:spacing w:val="-8"/>
          <w:sz w:val="18"/>
        </w:rPr>
        <w:t> </w:t>
      </w:r>
      <w:r>
        <w:rPr>
          <w:color w:val="231F20"/>
          <w:sz w:val="18"/>
        </w:rPr>
        <w:t>des</w:t>
      </w:r>
      <w:r>
        <w:rPr>
          <w:color w:val="231F20"/>
          <w:spacing w:val="-8"/>
          <w:sz w:val="18"/>
        </w:rPr>
        <w:t> </w:t>
      </w:r>
      <w:r>
        <w:rPr>
          <w:color w:val="231F20"/>
          <w:sz w:val="18"/>
        </w:rPr>
        <w:t>principaux</w:t>
      </w:r>
      <w:r>
        <w:rPr>
          <w:color w:val="231F20"/>
          <w:spacing w:val="-8"/>
          <w:sz w:val="18"/>
        </w:rPr>
        <w:t> </w:t>
      </w:r>
      <w:r>
        <w:rPr>
          <w:color w:val="231F20"/>
          <w:sz w:val="18"/>
        </w:rPr>
        <w:t>districts</w:t>
      </w:r>
      <w:r>
        <w:rPr>
          <w:color w:val="231F20"/>
          <w:spacing w:val="-8"/>
          <w:sz w:val="18"/>
        </w:rPr>
        <w:t> </w:t>
      </w:r>
      <w:r>
        <w:rPr>
          <w:color w:val="231F20"/>
          <w:sz w:val="18"/>
        </w:rPr>
        <w:t>miniers</w:t>
      </w:r>
      <w:r>
        <w:rPr>
          <w:color w:val="231F20"/>
          <w:spacing w:val="-8"/>
          <w:sz w:val="18"/>
        </w:rPr>
        <w:t> </w:t>
      </w:r>
      <w:r>
        <w:rPr>
          <w:color w:val="231F20"/>
          <w:sz w:val="18"/>
        </w:rPr>
        <w:t>à</w:t>
      </w:r>
      <w:r>
        <w:rPr>
          <w:color w:val="231F20"/>
          <w:spacing w:val="-8"/>
          <w:sz w:val="18"/>
        </w:rPr>
        <w:t> </w:t>
      </w:r>
      <w:r>
        <w:rPr>
          <w:color w:val="231F20"/>
          <w:sz w:val="18"/>
        </w:rPr>
        <w:t>gisements</w:t>
      </w:r>
      <w:r>
        <w:rPr>
          <w:color w:val="231F20"/>
          <w:spacing w:val="-8"/>
          <w:sz w:val="18"/>
        </w:rPr>
        <w:t> </w:t>
      </w:r>
      <w:r>
        <w:rPr>
          <w:color w:val="231F20"/>
          <w:sz w:val="18"/>
        </w:rPr>
        <w:t>SMV consistent en amas de gisements formés dans des rifts ou des caldeiras. Leur regroupement est attribuable à l’existence d’une source de chaleur commune qui donne naissance à de vastes réseaux de convection de fluides sous le plancher océanique. Les intrusions subvolcaniques qui produisent cette chaleur peuvent aussi fournir des métaux aux réseaux hydrothermaux des gîtes SMV par le biais d’un dégagement magmatique de matières volatiles. En raison de l’écoule- ment de fluides sur une grande étendue, les districts miniers à gisements SMV se caractérisent souvent par la présence de</w:t>
      </w:r>
      <w:r>
        <w:rPr>
          <w:color w:val="231F20"/>
          <w:spacing w:val="-7"/>
          <w:sz w:val="18"/>
        </w:rPr>
        <w:t> </w:t>
      </w:r>
      <w:r>
        <w:rPr>
          <w:color w:val="231F20"/>
          <w:sz w:val="18"/>
        </w:rPr>
        <w:t>vastes</w:t>
      </w:r>
      <w:r>
        <w:rPr>
          <w:color w:val="231F20"/>
          <w:spacing w:val="-7"/>
          <w:sz w:val="18"/>
        </w:rPr>
        <w:t> </w:t>
      </w:r>
      <w:r>
        <w:rPr>
          <w:color w:val="231F20"/>
          <w:sz w:val="18"/>
        </w:rPr>
        <w:t>zones</w:t>
      </w:r>
      <w:r>
        <w:rPr>
          <w:color w:val="231F20"/>
          <w:spacing w:val="-7"/>
          <w:sz w:val="18"/>
        </w:rPr>
        <w:t> </w:t>
      </w:r>
      <w:r>
        <w:rPr>
          <w:color w:val="231F20"/>
          <w:sz w:val="18"/>
        </w:rPr>
        <w:t>semi-concordantes</w:t>
      </w:r>
      <w:r>
        <w:rPr>
          <w:color w:val="231F20"/>
          <w:spacing w:val="-7"/>
          <w:sz w:val="18"/>
        </w:rPr>
        <w:t> </w:t>
      </w:r>
      <w:r>
        <w:rPr>
          <w:color w:val="231F20"/>
          <w:sz w:val="18"/>
        </w:rPr>
        <w:t>d’altération</w:t>
      </w:r>
      <w:r>
        <w:rPr>
          <w:color w:val="231F20"/>
          <w:spacing w:val="-7"/>
          <w:sz w:val="18"/>
        </w:rPr>
        <w:t> </w:t>
      </w:r>
      <w:r>
        <w:rPr>
          <w:color w:val="231F20"/>
          <w:sz w:val="18"/>
        </w:rPr>
        <w:t>hydrothermale,</w:t>
      </w:r>
      <w:r>
        <w:rPr>
          <w:color w:val="231F20"/>
          <w:spacing w:val="-7"/>
          <w:sz w:val="18"/>
        </w:rPr>
        <w:t> </w:t>
      </w:r>
      <w:r>
        <w:rPr>
          <w:color w:val="231F20"/>
          <w:sz w:val="18"/>
        </w:rPr>
        <w:t>qui</w:t>
      </w:r>
      <w:r>
        <w:rPr>
          <w:color w:val="231F20"/>
          <w:spacing w:val="-7"/>
          <w:sz w:val="18"/>
        </w:rPr>
        <w:t> </w:t>
      </w:r>
      <w:r>
        <w:rPr>
          <w:color w:val="231F20"/>
          <w:sz w:val="18"/>
        </w:rPr>
        <w:t>gagnent</w:t>
      </w:r>
      <w:r>
        <w:rPr>
          <w:color w:val="231F20"/>
          <w:spacing w:val="-7"/>
          <w:sz w:val="18"/>
        </w:rPr>
        <w:t> </w:t>
      </w:r>
      <w:r>
        <w:rPr>
          <w:color w:val="231F20"/>
          <w:sz w:val="18"/>
        </w:rPr>
        <w:t>en</w:t>
      </w:r>
      <w:r>
        <w:rPr>
          <w:color w:val="231F20"/>
          <w:spacing w:val="-7"/>
          <w:sz w:val="18"/>
        </w:rPr>
        <w:t> </w:t>
      </w:r>
      <w:r>
        <w:rPr>
          <w:color w:val="231F20"/>
          <w:sz w:val="18"/>
        </w:rPr>
        <w:t>intensité</w:t>
      </w:r>
      <w:r>
        <w:rPr>
          <w:color w:val="231F20"/>
          <w:spacing w:val="-7"/>
          <w:sz w:val="18"/>
        </w:rPr>
        <w:t> </w:t>
      </w:r>
      <w:r>
        <w:rPr>
          <w:color w:val="231F20"/>
          <w:sz w:val="18"/>
        </w:rPr>
        <w:t>pour</w:t>
      </w:r>
      <w:r>
        <w:rPr>
          <w:color w:val="231F20"/>
          <w:spacing w:val="-7"/>
          <w:sz w:val="18"/>
        </w:rPr>
        <w:t> </w:t>
      </w:r>
      <w:r>
        <w:rPr>
          <w:color w:val="231F20"/>
          <w:sz w:val="18"/>
        </w:rPr>
        <w:t>devenir</w:t>
      </w:r>
      <w:r>
        <w:rPr>
          <w:color w:val="231F20"/>
          <w:spacing w:val="-7"/>
          <w:sz w:val="18"/>
        </w:rPr>
        <w:t> </w:t>
      </w:r>
      <w:r>
        <w:rPr>
          <w:color w:val="231F20"/>
          <w:sz w:val="18"/>
        </w:rPr>
        <w:t>des</w:t>
      </w:r>
      <w:r>
        <w:rPr>
          <w:color w:val="231F20"/>
          <w:spacing w:val="-7"/>
          <w:sz w:val="18"/>
        </w:rPr>
        <w:t> </w:t>
      </w:r>
      <w:r>
        <w:rPr>
          <w:color w:val="231F20"/>
          <w:sz w:val="18"/>
        </w:rPr>
        <w:t>zones</w:t>
      </w:r>
      <w:r>
        <w:rPr>
          <w:color w:val="231F20"/>
          <w:spacing w:val="-7"/>
          <w:sz w:val="18"/>
        </w:rPr>
        <w:t> </w:t>
      </w:r>
      <w:r>
        <w:rPr>
          <w:color w:val="231F20"/>
          <w:sz w:val="18"/>
        </w:rPr>
        <w:t>d’altéra- tion discordantes, dans l’éponte inférieure et l’éponte supérieure immédiates des gisements. Ces districts se distinguent aussi par la présence d’unités minces mais étendues de sédiments chimiques ferrugineux qui résultent de l’exhalaison et de la diffusion de particules</w:t>
      </w:r>
      <w:r>
        <w:rPr>
          <w:color w:val="231F20"/>
          <w:spacing w:val="22"/>
          <w:sz w:val="18"/>
        </w:rPr>
        <w:t> </w:t>
      </w:r>
      <w:r>
        <w:rPr>
          <w:color w:val="231F20"/>
          <w:sz w:val="18"/>
        </w:rPr>
        <w:t>hydrothermales.</w:t>
      </w:r>
    </w:p>
    <w:p>
      <w:pPr>
        <w:spacing w:after="0" w:line="230" w:lineRule="auto"/>
        <w:jc w:val="both"/>
        <w:rPr>
          <w:sz w:val="18"/>
        </w:rPr>
        <w:sectPr>
          <w:type w:val="continuous"/>
          <w:pgSz w:w="12240" w:h="15840"/>
          <w:pgMar w:top="920" w:bottom="280" w:left="0" w:right="0"/>
        </w:sectPr>
      </w:pPr>
    </w:p>
    <w:p>
      <w:pPr>
        <w:pStyle w:val="Heading1"/>
        <w:spacing w:before="190"/>
        <w:ind w:left="3092"/>
      </w:pPr>
      <w:r>
        <w:rPr>
          <w:color w:val="231F20"/>
        </w:rPr>
        <w:t>Definition</w:t>
      </w:r>
    </w:p>
    <w:p>
      <w:pPr>
        <w:pStyle w:val="BodyText"/>
        <w:spacing w:line="230" w:lineRule="auto" w:before="69"/>
        <w:ind w:left="1100" w:firstLine="216"/>
        <w:jc w:val="both"/>
      </w:pPr>
      <w:r>
        <w:rPr>
          <w:color w:val="231F20"/>
        </w:rPr>
        <w:t>Volcanogenic massive sulphide (VMS) deposits are also known as volcanic-associated, volcanic-hosted, and vol- cano-sedimentary-hosted massive sulphide deposits. They typically occur as lenses of polymetallic massive sulphide that form at or near the seafloor in submarine volcanic envi- ronments. They form from metal-enriched fluids associated</w:t>
      </w:r>
    </w:p>
    <w:p>
      <w:pPr>
        <w:pStyle w:val="BodyText"/>
        <w:spacing w:line="230" w:lineRule="auto" w:before="197"/>
        <w:ind w:left="318" w:right="1097"/>
        <w:jc w:val="both"/>
      </w:pPr>
      <w:r>
        <w:rPr/>
        <w:br w:type="column"/>
      </w:r>
      <w:r>
        <w:rPr>
          <w:color w:val="231F20"/>
        </w:rPr>
        <w:t>with seafloor hydrothermal convection. Their immediate host rocks can be either volcanic or sedimentary. VMS deposits are major sources of Zn, Cu, Pb, Ag, and Au, and significant sources for Co, Sn, Se, Mn, Cd, In, Bi, </w:t>
      </w:r>
      <w:r>
        <w:rPr>
          <w:color w:val="231F20"/>
          <w:spacing w:val="-5"/>
        </w:rPr>
        <w:t>Te, </w:t>
      </w:r>
      <w:r>
        <w:rPr>
          <w:color w:val="231F20"/>
        </w:rPr>
        <w:t>Ga, and Ge. Some also contain significant amounts of As, Sb, and Hg. Historically, they account for 27% of Canada’s Cu production, 49% of its Zn, 20% of its Pb, 40% of its Ag,</w:t>
      </w:r>
      <w:r>
        <w:rPr>
          <w:color w:val="231F20"/>
          <w:spacing w:val="-15"/>
        </w:rPr>
        <w:t> </w:t>
      </w:r>
      <w:r>
        <w:rPr>
          <w:color w:val="231F20"/>
        </w:rPr>
        <w:t>and</w:t>
      </w:r>
    </w:p>
    <w:p>
      <w:pPr>
        <w:spacing w:after="0" w:line="230" w:lineRule="auto"/>
        <w:jc w:val="both"/>
        <w:sectPr>
          <w:type w:val="continuous"/>
          <w:pgSz w:w="12240" w:h="15840"/>
          <w:pgMar w:top="920" w:bottom="280" w:left="0" w:right="0"/>
          <w:cols w:num="2" w:equalWidth="0">
            <w:col w:w="5942" w:space="40"/>
            <w:col w:w="6258"/>
          </w:cols>
        </w:sectPr>
      </w:pPr>
    </w:p>
    <w:p>
      <w:pPr>
        <w:pStyle w:val="BodyText"/>
        <w:spacing w:before="10"/>
      </w:pPr>
    </w:p>
    <w:p>
      <w:pPr>
        <w:pStyle w:val="BodyText"/>
        <w:spacing w:line="20" w:lineRule="exact"/>
        <w:ind w:left="1077"/>
        <w:rPr>
          <w:sz w:val="2"/>
        </w:rPr>
      </w:pPr>
      <w:r>
        <w:rPr>
          <w:sz w:val="2"/>
        </w:rPr>
        <w:pict>
          <v:group style="width:504.75pt;height:.25pt;mso-position-horizontal-relative:char;mso-position-vertical-relative:line" coordorigin="0,0" coordsize="10095,5">
            <v:line style="position:absolute" from="0,2" to="10094,2" stroked="true" strokeweight=".25pt" strokecolor="#231f20">
              <v:stroke dashstyle="solid"/>
            </v:line>
          </v:group>
        </w:pict>
      </w:r>
      <w:r>
        <w:rPr>
          <w:sz w:val="2"/>
        </w:rPr>
      </w:r>
    </w:p>
    <w:p>
      <w:pPr>
        <w:spacing w:line="230" w:lineRule="auto" w:before="114"/>
        <w:ind w:left="1100" w:right="1098" w:firstLine="0"/>
        <w:jc w:val="both"/>
        <w:rPr>
          <w:sz w:val="16"/>
        </w:rPr>
      </w:pPr>
      <w:r>
        <w:rPr>
          <w:color w:val="231F20"/>
          <w:sz w:val="16"/>
        </w:rPr>
        <w:t>Galley, A.G., Hannington, M.D., and Jonasson, I.R., 2007, Volcanogenic massive sulphide deposits, </w:t>
      </w:r>
      <w:r>
        <w:rPr>
          <w:i/>
          <w:color w:val="231F20"/>
          <w:sz w:val="16"/>
        </w:rPr>
        <w:t>in </w:t>
      </w:r>
      <w:r>
        <w:rPr>
          <w:color w:val="231F20"/>
          <w:sz w:val="16"/>
        </w:rPr>
        <w:t>Goodfellow, W.D., ed., Mineral Deposits of Canada: A Synthesis of Major Deposit-Types, District Metallogeny, the Evolution of Geological Provinces, and Exploration Methods: Geological Association of Canada, Mineral Deposits Division, Special Publication No. 5, p. 141-161.</w:t>
      </w:r>
    </w:p>
    <w:p>
      <w:pPr>
        <w:spacing w:after="0" w:line="230" w:lineRule="auto"/>
        <w:jc w:val="both"/>
        <w:rPr>
          <w:sz w:val="16"/>
        </w:rPr>
        <w:sectPr>
          <w:type w:val="continuous"/>
          <w:pgSz w:w="12240" w:h="15840"/>
          <w:pgMar w:top="920" w:bottom="280" w:left="0" w:right="0"/>
        </w:sectPr>
      </w:pPr>
    </w:p>
    <w:p>
      <w:pPr>
        <w:pStyle w:val="BodyText"/>
        <w:spacing w:line="230" w:lineRule="auto" w:before="193"/>
        <w:ind w:left="1100"/>
        <w:jc w:val="both"/>
      </w:pPr>
      <w:r>
        <w:rPr>
          <w:color w:val="231F20"/>
        </w:rPr>
        <w:t>3%</w:t>
      </w:r>
      <w:r>
        <w:rPr>
          <w:color w:val="231F20"/>
          <w:spacing w:val="-9"/>
        </w:rPr>
        <w:t> </w:t>
      </w:r>
      <w:r>
        <w:rPr>
          <w:color w:val="231F20"/>
        </w:rPr>
        <w:t>of</w:t>
      </w:r>
      <w:r>
        <w:rPr>
          <w:color w:val="231F20"/>
          <w:spacing w:val="-9"/>
        </w:rPr>
        <w:t> </w:t>
      </w:r>
      <w:r>
        <w:rPr>
          <w:color w:val="231F20"/>
        </w:rPr>
        <w:t>its</w:t>
      </w:r>
      <w:r>
        <w:rPr>
          <w:color w:val="231F20"/>
          <w:spacing w:val="-20"/>
        </w:rPr>
        <w:t> </w:t>
      </w:r>
      <w:r>
        <w:rPr>
          <w:color w:val="231F20"/>
        </w:rPr>
        <w:t>Au.</w:t>
      </w:r>
      <w:r>
        <w:rPr>
          <w:color w:val="231F20"/>
          <w:spacing w:val="-9"/>
        </w:rPr>
        <w:t> </w:t>
      </w:r>
      <w:r>
        <w:rPr>
          <w:color w:val="231F20"/>
        </w:rPr>
        <w:t>Because</w:t>
      </w:r>
      <w:r>
        <w:rPr>
          <w:color w:val="231F20"/>
          <w:spacing w:val="-9"/>
        </w:rPr>
        <w:t> </w:t>
      </w:r>
      <w:r>
        <w:rPr>
          <w:color w:val="231F20"/>
        </w:rPr>
        <w:t>of</w:t>
      </w:r>
      <w:r>
        <w:rPr>
          <w:color w:val="231F20"/>
          <w:spacing w:val="-9"/>
        </w:rPr>
        <w:t> </w:t>
      </w:r>
      <w:r>
        <w:rPr>
          <w:color w:val="231F20"/>
        </w:rPr>
        <w:t>their</w:t>
      </w:r>
      <w:r>
        <w:rPr>
          <w:color w:val="231F20"/>
          <w:spacing w:val="-9"/>
        </w:rPr>
        <w:t> </w:t>
      </w:r>
      <w:r>
        <w:rPr>
          <w:color w:val="231F20"/>
        </w:rPr>
        <w:t>poly- metallic content, VMS deposits continue to be one of the most desirable deposit types for security against fluctuating prices of differ- ent</w:t>
      </w:r>
      <w:r>
        <w:rPr>
          <w:color w:val="231F20"/>
          <w:spacing w:val="5"/>
        </w:rPr>
        <w:t> </w:t>
      </w:r>
      <w:r>
        <w:rPr>
          <w:color w:val="231F20"/>
        </w:rPr>
        <w:t>metals.</w:t>
      </w:r>
    </w:p>
    <w:p>
      <w:pPr>
        <w:pStyle w:val="BodyText"/>
        <w:spacing w:line="230" w:lineRule="auto" w:before="31"/>
        <w:ind w:left="1100" w:firstLine="216"/>
        <w:jc w:val="both"/>
      </w:pPr>
      <w:r>
        <w:rPr>
          <w:color w:val="231F20"/>
        </w:rPr>
        <w:t>VMS deposits form at, or near, the seafloor through the focused </w:t>
      </w:r>
      <w:r>
        <w:rPr>
          <w:color w:val="231F20"/>
          <w:spacing w:val="1"/>
        </w:rPr>
        <w:t>discharge </w:t>
      </w:r>
      <w:r>
        <w:rPr>
          <w:color w:val="231F20"/>
        </w:rPr>
        <w:t>of </w:t>
      </w:r>
      <w:r>
        <w:rPr>
          <w:color w:val="231F20"/>
          <w:spacing w:val="1"/>
        </w:rPr>
        <w:t>hot, </w:t>
      </w:r>
      <w:r>
        <w:rPr>
          <w:color w:val="231F20"/>
          <w:spacing w:val="2"/>
        </w:rPr>
        <w:t>metal-rich </w:t>
      </w:r>
      <w:r>
        <w:rPr>
          <w:color w:val="231F20"/>
        </w:rPr>
        <w:t>hydrothermal fluids. For this rea- son, VMS deposits are classified </w:t>
      </w:r>
      <w:r>
        <w:rPr>
          <w:color w:val="231F20"/>
          <w:spacing w:val="1"/>
        </w:rPr>
        <w:t>under </w:t>
      </w:r>
      <w:r>
        <w:rPr>
          <w:color w:val="231F20"/>
        </w:rPr>
        <w:t>the </w:t>
      </w:r>
      <w:r>
        <w:rPr>
          <w:color w:val="231F20"/>
          <w:spacing w:val="1"/>
        </w:rPr>
        <w:t>general heading </w:t>
      </w:r>
      <w:r>
        <w:rPr>
          <w:color w:val="231F20"/>
          <w:spacing w:val="2"/>
        </w:rPr>
        <w:t>of </w:t>
      </w:r>
      <w:r>
        <w:rPr>
          <w:color w:val="231F20"/>
          <w:spacing w:val="1"/>
        </w:rPr>
        <w:t>“exhalative” deposits, </w:t>
      </w:r>
      <w:r>
        <w:rPr>
          <w:color w:val="231F20"/>
        </w:rPr>
        <w:t>which includes sedimentary exhalative (SEDEX) and sedimentary nickel deposits (Eckstrand et al., 1995). Most VMS deposits have two</w:t>
      </w:r>
      <w:r>
        <w:rPr>
          <w:color w:val="231F20"/>
          <w:spacing w:val="-22"/>
        </w:rPr>
        <w:t> </w:t>
      </w:r>
      <w:r>
        <w:rPr>
          <w:color w:val="231F20"/>
        </w:rPr>
        <w:t>com- ponents (Fig. 1). There is typically a </w:t>
      </w:r>
      <w:r>
        <w:rPr>
          <w:color w:val="231F20"/>
          <w:spacing w:val="1"/>
        </w:rPr>
        <w:t>mound-shaped </w:t>
      </w:r>
      <w:r>
        <w:rPr>
          <w:color w:val="231F20"/>
        </w:rPr>
        <w:t>to tabular, stratabound body composed princi- pally of massive (&gt;40%) sulphide, quartz and subordinate phyllosili- cates, and iron oxide minerals and altered silicate wall-rock. These stratabound bodies are typically underlain by discordant to semi- concordant stockwork veins</w:t>
      </w:r>
      <w:r>
        <w:rPr>
          <w:color w:val="231F20"/>
          <w:spacing w:val="25"/>
        </w:rPr>
        <w:t> </w:t>
      </w:r>
      <w:r>
        <w:rPr>
          <w:color w:val="231F20"/>
        </w:rPr>
        <w:t>and</w:t>
      </w:r>
    </w:p>
    <w:p>
      <w:pPr>
        <w:pStyle w:val="BodyText"/>
        <w:spacing w:before="1" w:after="40"/>
        <w:rPr>
          <w:sz w:val="15"/>
        </w:rPr>
      </w:pPr>
      <w:r>
        <w:rPr/>
        <w:br w:type="column"/>
      </w:r>
      <w:r>
        <w:rPr>
          <w:sz w:val="15"/>
        </w:rPr>
      </w:r>
    </w:p>
    <w:p>
      <w:pPr>
        <w:pStyle w:val="BodyText"/>
        <w:ind w:left="170"/>
      </w:pPr>
      <w:r>
        <w:rPr/>
        <w:pict>
          <v:group style="width:351.05pt;height:233.95pt;mso-position-horizontal-relative:char;mso-position-vertical-relative:line" coordorigin="0,0" coordsize="7021,4679">
            <v:shape style="position:absolute;left:704;top:743;width:6161;height:3870" type="#_x0000_t75" stroked="false">
              <v:imagedata r:id="rId10" o:title=""/>
            </v:shape>
            <v:shape style="position:absolute;left:2238;top:5;width:1724;height:1062" type="#_x0000_t75" stroked="false">
              <v:imagedata r:id="rId11" o:title=""/>
            </v:shape>
            <v:shape style="position:absolute;left:2238;top:5;width:1724;height:1062" coordorigin="2239,6" coordsize="1724,1062" path="m3409,1068l3427,1015,3447,952,3454,903,3484,866,3499,829,3533,790,3542,764,3550,727,3566,692,3607,684,3648,633,3679,590,3693,559,3732,547,3784,517,3804,482,3808,472,3865,413,3919,386,3955,323,3962,277,3947,228,3908,186,3873,184,3869,166,3851,122,3832,96,3792,73,3740,66,3700,66,3663,92,3622,125,3593,122,3539,109,3523,109,3513,109,3447,129,3405,151,3394,159,3381,167,3369,174,3364,176,3349,182,3298,108,3298,71,3275,39,3241,17,3194,6,3140,6,3098,31,3077,55,3057,79,2999,68,2938,60,2891,63,2864,90,2852,109,2842,125,2798,147,2736,143,2616,147,2514,155,2461,166,2345,177,2281,177,2239,200,2276,219,2401,219,2442,234,2352,253,2431,264,2506,264,2544,262,2565,261,2578,261,2589,261,2620,261,2668,263,2713,264,2733,264,2801,287,2891,295,2970,329,3060,389,3087,430,3098,480,3098,593,3125,646,3162,680,3196,703,3223,759,3260,782,3309,820,3355,835,3373,861,3373,903,3388,975,3403,1042,3409,1068xe" filled="false" stroked="true" strokeweight=".592pt" strokecolor="#231f20">
              <v:path arrowok="t"/>
              <v:stroke dashstyle="solid"/>
            </v:shape>
            <v:shape style="position:absolute;left:1723;top:2281;width:3606;height:2394" coordorigin="1723,2282" coordsize="3606,2394" path="m3441,2282l1723,2298,1728,2375,1781,2483,1853,2598,1971,2645,2074,2693,2121,2748,2176,2811,2263,2930,2350,3025,2414,3104,2516,3301,2603,3554,2682,3815,2745,4060,2864,4549,4073,4676,4199,4225,4247,4044,4310,3807,4381,3625,4436,3475,4515,3285,4570,3198,4657,3025,4807,2843,4958,2701,5060,2622,5163,2558,5329,2479,3441,2282xe" filled="true" fillcolor="#47a5ae" stroked="false">
              <v:path arrowok="t"/>
              <v:fill type="solid"/>
            </v:shape>
            <v:shape style="position:absolute;left:1723;top:2281;width:3606;height:2394" coordorigin="1723,2282" coordsize="3606,2394" path="m1853,2598l1971,2645,2074,2693,2121,2748,2176,2811,2263,2930,2350,3025,2414,3104,2516,3301,2603,3554,2682,3815,2745,4060,2864,4549,4073,4676,4199,4225,4247,4044,4310,3807,4381,3625,4436,3475,4515,3285,4570,3198,4657,3025,4807,2843,4958,2701,5060,2622,5163,2558,5329,2479,3441,2282,1723,2298,1728,2375,1781,2483,1853,2598xe" filled="false" stroked="true" strokeweight=".224pt" strokecolor="#ffffff">
              <v:path arrowok="t"/>
              <v:stroke dashstyle="solid"/>
            </v:shape>
            <v:shape style="position:absolute;left:2603;top:2605;width:1660;height:2011" type="#_x0000_t75" stroked="false">
              <v:imagedata r:id="rId12" o:title=""/>
            </v:shape>
            <v:shape style="position:absolute;left:1925;top:1564;width:4007;height:3038" type="#_x0000_t75" stroked="false">
              <v:imagedata r:id="rId13" o:title=""/>
            </v:shape>
            <v:line style="position:absolute" from="5104,125" to="5991,125" stroked="true" strokeweight=".592pt" strokecolor="#231f20">
              <v:stroke dashstyle="solid"/>
            </v:line>
            <v:line style="position:absolute" from="4667,125" to="3937,125" stroked="true" strokeweight=".592pt" strokecolor="#231f20">
              <v:stroke dashstyle="solid"/>
            </v:line>
            <v:rect style="position:absolute;left:1480;top:1012;width:1094;height:160" filled="true" fillcolor="#ffffff" stroked="false">
              <v:fill type="solid"/>
            </v:rect>
            <v:rect style="position:absolute;left:6035;top:1440;width:985;height:159" filled="true" fillcolor="#ffffff" stroked="false">
              <v:fill type="solid"/>
            </v:rect>
            <v:rect style="position:absolute;left:10;top:1537;width:1639;height:207" filled="true" fillcolor="#ffffff" stroked="false">
              <v:fill type="solid"/>
            </v:rect>
            <v:shape style="position:absolute;left:3219;top:139;width:22;height:82" coordorigin="3220,140" coordsize="22,82" path="m3220,140l3242,165,3239,199,3233,222e" filled="false" stroked="true" strokeweight=".592pt" strokecolor="#231f20">
              <v:path arrowok="t"/>
              <v:stroke dashstyle="solid"/>
            </v:shape>
            <v:shape style="position:absolute;left:3787;top:191;width:22;height:82" coordorigin="3787,192" coordsize="22,82" path="m3787,192l3809,217,3806,251,3800,274e" filled="false" stroked="true" strokeweight=".592pt" strokecolor="#231f20">
              <v:path arrowok="t"/>
              <v:stroke dashstyle="solid"/>
            </v:shape>
            <v:shape style="position:absolute;left:3636;top:343;width:22;height:82" coordorigin="3636,343" coordsize="22,82" path="m3636,343l3658,368,3655,403,3649,425e" filled="false" stroked="true" strokeweight=".592pt" strokecolor="#231f20">
              <v:path arrowok="t"/>
              <v:stroke dashstyle="solid"/>
            </v:shape>
            <v:shape style="position:absolute;left:3068;top:291;width:22;height:82" coordorigin="3069,291" coordsize="22,82" path="m3069,291l3090,316,3087,351,3081,373e" filled="false" stroked="true" strokeweight=".592pt" strokecolor="#231f20">
              <v:path arrowok="t"/>
              <v:stroke dashstyle="solid"/>
            </v:shape>
            <v:shape style="position:absolute;left:3636;top:343;width:22;height:82" coordorigin="3636,343" coordsize="22,82" path="m3636,343l3658,368,3655,403,3649,425e" filled="false" stroked="true" strokeweight=".592pt" strokecolor="#231f20">
              <v:path arrowok="t"/>
              <v:stroke dashstyle="solid"/>
            </v:shape>
            <v:shape style="position:absolute;left:2929;top:89;width:119;height:22" coordorigin="2929,90" coordsize="119,22" path="m3048,109l3017,96,2998,90,2970,93,2929,112e" filled="false" stroked="true" strokeweight=".592pt" strokecolor="#231f20">
              <v:path arrowok="t"/>
              <v:stroke dashstyle="solid"/>
            </v:shape>
            <v:shape style="position:absolute;left:3496;top:140;width:119;height:22" coordorigin="3497,141" coordsize="119,22" path="m3615,160l3584,147,3566,141,3537,144,3497,163e" filled="false" stroked="true" strokeweight=".592pt" strokecolor="#231f20">
              <v:path arrowok="t"/>
              <v:stroke dashstyle="solid"/>
            </v:shape>
            <v:shape style="position:absolute;left:3345;top:292;width:119;height:22" coordorigin="3345,292" coordsize="119,22" path="m3464,311l3433,298,3414,292,3386,295,3345,314e" filled="false" stroked="true" strokeweight=".592pt" strokecolor="#231f20">
              <v:path arrowok="t"/>
              <v:stroke dashstyle="solid"/>
            </v:shape>
            <v:shape style="position:absolute;left:2487;top:171;width:117;height:32" coordorigin="2488,171" coordsize="117,32" path="m2604,187l2573,171,2532,171,2510,180,2488,203e" filled="false" stroked="true" strokeweight=".592pt" strokecolor="#231f20">
              <v:path arrowok="t"/>
              <v:stroke dashstyle="solid"/>
            </v:shape>
            <v:shape style="position:absolute;left:2668;top:171;width:117;height:32" coordorigin="2669,171" coordsize="117,32" path="m2785,187l2753,171,2713,171,2690,180,2669,203e" filled="false" stroked="true" strokeweight=".592pt" strokecolor="#231f20">
              <v:path arrowok="t"/>
              <v:stroke dashstyle="solid"/>
            </v:shape>
            <v:shape style="position:absolute;left:3684;top:90;width:117;height:32" coordorigin="3684,91" coordsize="117,32" path="m3801,107l3769,91,3729,91,3706,100,3684,122e" filled="false" stroked="true" strokeweight=".592pt" strokecolor="#231f20">
              <v:path arrowok="t"/>
              <v:stroke dashstyle="solid"/>
            </v:shape>
            <v:shape style="position:absolute;left:3533;top:242;width:117;height:32" coordorigin="3533,242" coordsize="117,32" path="m3649,258l3618,242,3577,242,3555,251,3533,274e" filled="false" stroked="true" strokeweight=".592pt" strokecolor="#231f20">
              <v:path arrowok="t"/>
              <v:stroke dashstyle="solid"/>
            </v:shape>
            <v:shape style="position:absolute;left:3116;top:39;width:117;height:32" coordorigin="3117,40" coordsize="117,32" path="m3233,56l3202,40,3161,40,3139,49,3117,71e" filled="false" stroked="true" strokeweight=".592pt" strokecolor="#231f20">
              <v:path arrowok="t"/>
              <v:stroke dashstyle="solid"/>
            </v:shape>
            <v:shape style="position:absolute;left:2965;top:191;width:117;height:32" coordorigin="2966,191" coordsize="117,32" path="m3082,207l3050,191,3010,191,2987,200,2966,223e" filled="false" stroked="true" strokeweight=".592pt" strokecolor="#231f20">
              <v:path arrowok="t"/>
              <v:stroke dashstyle="solid"/>
            </v:shape>
            <v:shape style="position:absolute;left:3533;top:242;width:117;height:32" coordorigin="3533,242" coordsize="117,32" path="m3649,258l3618,242,3577,242,3555,251,3533,274e" filled="false" stroked="true" strokeweight=".592pt" strokecolor="#231f20">
              <v:path arrowok="t"/>
              <v:stroke dashstyle="solid"/>
            </v:shape>
            <v:shape style="position:absolute;left:3381;top:393;width:117;height:32" coordorigin="3382,394" coordsize="117,32" path="m3498,409l3466,394,3426,394,3404,403,3382,425e" filled="false" stroked="true" strokeweight=".592pt" strokecolor="#231f20">
              <v:path arrowok="t"/>
              <v:stroke dashstyle="solid"/>
            </v:shape>
            <v:shape style="position:absolute;left:3250;top:254;width:41;height:94" coordorigin="3250,254" coordsize="41,94" path="m3250,348l3272,335,3291,304,3291,273,3285,254e" filled="false" stroked="true" strokeweight=".592pt" strokecolor="#231f20">
              <v:path arrowok="t"/>
              <v:stroke dashstyle="solid"/>
            </v:shape>
            <v:shape style="position:absolute;left:3817;top:305;width:41;height:94" coordorigin="3818,305" coordsize="41,94" path="m3818,399l3839,386,3858,355,3858,324,3852,305e" filled="false" stroked="true" strokeweight=".592pt" strokecolor="#231f20">
              <v:path arrowok="t"/>
              <v:stroke dashstyle="solid"/>
            </v:shape>
            <v:shape style="position:absolute;left:2756;top:215;width:100;height:23" coordorigin="2756,216" coordsize="100,23" path="m2756,216l2786,237,2824,238,2856,229e" filled="false" stroked="true" strokeweight=".592pt" strokecolor="#231f20">
              <v:path arrowok="t"/>
              <v:stroke dashstyle="solid"/>
            </v:shape>
            <v:shape style="position:absolute;left:2502;top:212;width:96;height:37" coordorigin="2503,212" coordsize="96,37" path="m2503,241l2538,248,2574,234,2599,212e" filled="false" stroked="true" strokeweight=".592pt" strokecolor="#231f20">
              <v:path arrowok="t"/>
              <v:stroke dashstyle="solid"/>
            </v:shape>
            <v:shape style="position:absolute;left:2851;top:196;width:66;height:76" coordorigin="2852,197" coordsize="66,76" path="m2852,272l2886,260,2908,228,2917,197e" filled="false" stroked="true" strokeweight=".592pt" strokecolor="#231f20">
              <v:path arrowok="t"/>
              <v:stroke dashstyle="solid"/>
            </v:shape>
            <v:shape style="position:absolute;left:3856;top:285;width:66;height:76" coordorigin="3856,285" coordsize="66,76" path="m3856,361l3890,348,3913,317,3922,285e" filled="false" stroked="true" strokeweight=".592pt" strokecolor="#231f20">
              <v:path arrowok="t"/>
              <v:stroke dashstyle="solid"/>
            </v:shape>
            <v:shape style="position:absolute;left:3288;top:233;width:66;height:76" coordorigin="3289,233" coordsize="66,76" path="m3289,309l3323,296,3345,265,3354,233e" filled="false" stroked="true" strokeweight=".592pt" strokecolor="#231f20">
              <v:path arrowok="t"/>
              <v:stroke dashstyle="solid"/>
            </v:shape>
            <v:shape style="position:absolute;left:3137;top:384;width:66;height:76" coordorigin="3138,385" coordsize="66,76" path="m3138,461l3171,448,3194,416,3203,385e" filled="false" stroked="true" strokeweight=".592pt" strokecolor="#231f20">
              <v:path arrowok="t"/>
              <v:stroke dashstyle="solid"/>
            </v:shape>
            <v:shape style="position:absolute;left:1868;top:1491;width:4085;height:1466" type="#_x0000_t75" stroked="false">
              <v:imagedata r:id="rId14" o:title=""/>
            </v:shape>
            <v:shape style="position:absolute;left:1058;top:430;width:5276;height:1978" type="#_x0000_t75" stroked="false">
              <v:imagedata r:id="rId15" o:title=""/>
            </v:shape>
            <v:shape style="position:absolute;left:2759;top:2610;width:285;height:228" type="#_x0000_t75" stroked="false">
              <v:imagedata r:id="rId16" o:title=""/>
            </v:shape>
            <v:shape style="position:absolute;left:3206;top:2676;width:76;height:168" coordorigin="3207,2676" coordsize="76,168" path="m3261,2676l3234,2716,3219,2736,3212,2744,3207,2745,3237,2807,3278,2844,3282,2752,3261,2676xe" filled="true" fillcolor="#56c5d0" stroked="false">
              <v:path arrowok="t"/>
              <v:fill type="solid"/>
            </v:shape>
            <v:shape style="position:absolute;left:3206;top:2676;width:76;height:168" coordorigin="3207,2676" coordsize="76,168" path="m3207,2745l3237,2807,3278,2844,3282,2752,3261,2676,3234,2716,3219,2736,3212,2744,3207,2745xe" filled="false" stroked="true" strokeweight=".592pt" strokecolor="#231f20">
              <v:path arrowok="t"/>
              <v:stroke dashstyle="solid"/>
            </v:shape>
            <v:shape style="position:absolute;left:3335;top:2677;width:117;height:215" type="#_x0000_t75" stroked="false">
              <v:imagedata r:id="rId17" o:title=""/>
            </v:shape>
            <v:shape style="position:absolute;left:3525;top:2690;width:135;height:112" type="#_x0000_t75" stroked="false">
              <v:imagedata r:id="rId18" o:title=""/>
            </v:shape>
            <v:shape style="position:absolute;left:3713;top:2689;width:493;height:143" type="#_x0000_t75" stroked="false">
              <v:imagedata r:id="rId19" o:title=""/>
            </v:shape>
            <v:shape style="position:absolute;left:4743;top:67;width:348;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100 M</w:t>
                    </w:r>
                  </w:p>
                </w:txbxContent>
              </v:textbox>
              <w10:wrap type="none"/>
            </v:shape>
            <v:shape style="position:absolute;left:1250;top:599;width:1596;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BLACK SMOKER COMPLEX</w:t>
                    </w:r>
                  </w:p>
                </w:txbxContent>
              </v:textbox>
              <w10:wrap type="none"/>
            </v:shape>
            <v:shape style="position:absolute;left:4329;top:545;width:1108;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COLLAPSED AREA</w:t>
                    </w:r>
                  </w:p>
                </w:txbxContent>
              </v:textbox>
              <w10:wrap type="none"/>
            </v:shape>
            <v:shape style="position:absolute;left:1503;top:1024;width:1080;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ANHYDRITE CONE</w:t>
                    </w:r>
                  </w:p>
                </w:txbxContent>
              </v:textbox>
              <w10:wrap type="none"/>
            </v:shape>
            <v:shape style="position:absolute;left:4919;top:1050;width:1028;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WHITE SMOKERS</w:t>
                    </w:r>
                  </w:p>
                </w:txbxContent>
              </v:textbox>
              <w10:wrap type="none"/>
            </v:shape>
            <v:shape style="position:absolute;left:0;top:1406;width:1653;height:296" type="#_x0000_t202" filled="false" stroked="false">
              <v:textbox inset="0,0,0,0">
                <w:txbxContent>
                  <w:p>
                    <w:pPr>
                      <w:spacing w:before="3"/>
                      <w:ind w:left="31" w:right="18" w:firstLine="0"/>
                      <w:jc w:val="center"/>
                      <w:rPr>
                        <w:rFonts w:ascii="Arial"/>
                        <w:b/>
                        <w:sz w:val="11"/>
                      </w:rPr>
                    </w:pPr>
                    <w:r>
                      <w:rPr>
                        <w:rFonts w:ascii="Arial"/>
                        <w:b/>
                        <w:color w:val="231F20"/>
                        <w:w w:val="105"/>
                        <w:sz w:val="11"/>
                      </w:rPr>
                      <w:t>DEBRIS APRON &amp;</w:t>
                    </w:r>
                  </w:p>
                  <w:p>
                    <w:pPr>
                      <w:spacing w:before="37"/>
                      <w:ind w:left="0" w:right="18" w:firstLine="0"/>
                      <w:jc w:val="center"/>
                      <w:rPr>
                        <w:rFonts w:ascii="Arial"/>
                        <w:b/>
                        <w:sz w:val="11"/>
                      </w:rPr>
                    </w:pPr>
                    <w:r>
                      <w:rPr>
                        <w:rFonts w:ascii="Arial"/>
                        <w:b/>
                        <w:color w:val="231F20"/>
                        <w:w w:val="105"/>
                        <w:sz w:val="11"/>
                      </w:rPr>
                      <w:t>METALLIFEROUS SEDIMENT</w:t>
                    </w:r>
                  </w:p>
                </w:txbxContent>
              </v:textbox>
              <w10:wrap type="none"/>
            </v:shape>
            <v:shape style="position:absolute;left:2412;top:1457;width:4582;height:1382" type="#_x0000_t202" filled="false" stroked="false">
              <v:textbox inset="0,0,0,0">
                <w:txbxContent>
                  <w:p>
                    <w:pPr>
                      <w:spacing w:before="3"/>
                      <w:ind w:left="0" w:right="18" w:firstLine="0"/>
                      <w:jc w:val="right"/>
                      <w:rPr>
                        <w:rFonts w:ascii="Arial"/>
                        <w:b/>
                        <w:sz w:val="11"/>
                      </w:rPr>
                    </w:pPr>
                    <w:r>
                      <w:rPr>
                        <w:rFonts w:ascii="Arial"/>
                        <w:b/>
                        <w:color w:val="231F20"/>
                        <w:w w:val="105"/>
                        <w:sz w:val="11"/>
                      </w:rPr>
                      <w:t>SULFIDE TALUS</w:t>
                    </w:r>
                  </w:p>
                  <w:p>
                    <w:pPr>
                      <w:spacing w:line="240" w:lineRule="auto" w:before="0"/>
                      <w:rPr>
                        <w:sz w:val="12"/>
                      </w:rPr>
                    </w:pPr>
                  </w:p>
                  <w:p>
                    <w:pPr>
                      <w:spacing w:line="240" w:lineRule="auto" w:before="7"/>
                      <w:rPr>
                        <w:sz w:val="16"/>
                      </w:rPr>
                    </w:pPr>
                  </w:p>
                  <w:p>
                    <w:pPr>
                      <w:spacing w:before="1"/>
                      <w:ind w:left="732" w:right="0" w:firstLine="0"/>
                      <w:jc w:val="left"/>
                      <w:rPr>
                        <w:rFonts w:ascii="Arial"/>
                        <w:b/>
                        <w:sz w:val="11"/>
                      </w:rPr>
                    </w:pPr>
                    <w:r>
                      <w:rPr>
                        <w:rFonts w:ascii="Arial"/>
                        <w:b/>
                        <w:color w:val="231F20"/>
                        <w:w w:val="105"/>
                        <w:sz w:val="11"/>
                      </w:rPr>
                      <w:t>ANHYDRITE</w:t>
                    </w:r>
                  </w:p>
                  <w:p>
                    <w:pPr>
                      <w:tabs>
                        <w:tab w:pos="819" w:val="left" w:leader="none"/>
                        <w:tab w:pos="1555" w:val="left" w:leader="none"/>
                        <w:tab w:pos="1850" w:val="left" w:leader="none"/>
                      </w:tabs>
                      <w:spacing w:line="230" w:lineRule="auto" w:before="104"/>
                      <w:ind w:left="65" w:right="1885" w:hanging="66"/>
                      <w:jc w:val="left"/>
                      <w:rPr>
                        <w:rFonts w:ascii="Arial"/>
                        <w:b/>
                        <w:sz w:val="11"/>
                      </w:rPr>
                    </w:pPr>
                    <w:r>
                      <w:rPr>
                        <w:rFonts w:ascii="Arial"/>
                        <w:b/>
                        <w:color w:val="231F20"/>
                        <w:w w:val="105"/>
                        <w:position w:val="1"/>
                        <w:sz w:val="11"/>
                      </w:rPr>
                      <w:t>SEALED</w:t>
                      <w:tab/>
                    </w:r>
                    <w:r>
                      <w:rPr>
                        <w:rFonts w:ascii="Arial"/>
                        <w:b/>
                        <w:color w:val="231F20"/>
                        <w:w w:val="105"/>
                        <w:position w:val="2"/>
                        <w:sz w:val="11"/>
                      </w:rPr>
                      <w:t>PYRITE</w:t>
                      <w:tab/>
                    </w:r>
                    <w:r>
                      <w:rPr>
                        <w:rFonts w:ascii="Arial"/>
                        <w:b/>
                        <w:color w:val="231F20"/>
                        <w:w w:val="105"/>
                        <w:sz w:val="11"/>
                      </w:rPr>
                      <w:t>Zn-RICH MARGINAL </w:t>
                    </w:r>
                    <w:r>
                      <w:rPr>
                        <w:rFonts w:ascii="Arial"/>
                        <w:b/>
                        <w:color w:val="231F20"/>
                        <w:w w:val="105"/>
                        <w:position w:val="1"/>
                        <w:sz w:val="11"/>
                      </w:rPr>
                      <w:t>ZONE</w:t>
                      <w:tab/>
                      <w:tab/>
                      <w:tab/>
                    </w:r>
                    <w:r>
                      <w:rPr>
                        <w:rFonts w:ascii="Arial"/>
                        <w:b/>
                        <w:color w:val="231F20"/>
                        <w:w w:val="105"/>
                        <w:sz w:val="11"/>
                      </w:rPr>
                      <w:t>FACIES</w:t>
                    </w:r>
                  </w:p>
                  <w:p>
                    <w:pPr>
                      <w:spacing w:line="115" w:lineRule="exact" w:before="0"/>
                      <w:ind w:left="803" w:right="0" w:firstLine="0"/>
                      <w:jc w:val="left"/>
                      <w:rPr>
                        <w:rFonts w:ascii="Arial"/>
                        <w:b/>
                        <w:sz w:val="11"/>
                      </w:rPr>
                    </w:pPr>
                    <w:r>
                      <w:rPr>
                        <w:rFonts w:ascii="Arial"/>
                        <w:b/>
                        <w:color w:val="231F20"/>
                        <w:w w:val="105"/>
                        <w:sz w:val="11"/>
                      </w:rPr>
                      <w:t>QUARTZ</w:t>
                    </w:r>
                  </w:p>
                  <w:p>
                    <w:pPr>
                      <w:spacing w:line="240" w:lineRule="auto" w:before="3"/>
                      <w:rPr>
                        <w:sz w:val="15"/>
                      </w:rPr>
                    </w:pPr>
                  </w:p>
                  <w:p>
                    <w:pPr>
                      <w:spacing w:before="0"/>
                      <w:ind w:left="2281" w:right="0" w:firstLine="0"/>
                      <w:jc w:val="left"/>
                      <w:rPr>
                        <w:rFonts w:ascii="Arial"/>
                        <w:b/>
                        <w:sz w:val="11"/>
                      </w:rPr>
                    </w:pPr>
                    <w:r>
                      <w:rPr>
                        <w:rFonts w:ascii="Arial"/>
                        <w:b/>
                        <w:color w:val="231F20"/>
                        <w:w w:val="105"/>
                        <w:sz w:val="11"/>
                      </w:rPr>
                      <w:t>GRADATIONAL CONTACT</w:t>
                    </w:r>
                  </w:p>
                </w:txbxContent>
              </v:textbox>
              <w10:wrap type="none"/>
            </v:shape>
            <v:shape style="position:absolute;left:4022;top:3287;width:1967;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SILICIFIED, PYRITIC STOCKWORK</w:t>
                    </w:r>
                  </w:p>
                </w:txbxContent>
              </v:textbox>
              <w10:wrap type="none"/>
            </v:shape>
            <v:shape style="position:absolute;left:1152;top:3625;width:1322;height:262" type="#_x0000_t202" filled="false" stroked="false">
              <v:textbox inset="0,0,0,0">
                <w:txbxContent>
                  <w:p>
                    <w:pPr>
                      <w:spacing w:line="244" w:lineRule="auto" w:before="3"/>
                      <w:ind w:left="0" w:right="0" w:firstLine="118"/>
                      <w:jc w:val="left"/>
                      <w:rPr>
                        <w:rFonts w:ascii="Arial"/>
                        <w:b/>
                        <w:sz w:val="11"/>
                      </w:rPr>
                    </w:pPr>
                    <w:r>
                      <w:rPr>
                        <w:rFonts w:ascii="Arial"/>
                        <w:b/>
                        <w:color w:val="231F20"/>
                        <w:w w:val="105"/>
                        <w:sz w:val="11"/>
                      </w:rPr>
                      <w:t>APPROX. LIMIT OF DEMAGNETIZED ZONE</w:t>
                    </w:r>
                  </w:p>
                </w:txbxContent>
              </v:textbox>
              <w10:wrap type="none"/>
            </v:shape>
            <v:shape style="position:absolute;left:3945;top:3680;width:2121;height:132" type="#_x0000_t202" filled="false" stroked="false">
              <v:textbox inset="0,0,0,0">
                <w:txbxContent>
                  <w:p>
                    <w:pPr>
                      <w:spacing w:before="3"/>
                      <w:ind w:left="0" w:right="0" w:firstLine="0"/>
                      <w:jc w:val="left"/>
                      <w:rPr>
                        <w:rFonts w:ascii="Arial" w:hAnsi="Arial"/>
                        <w:b/>
                        <w:sz w:val="11"/>
                      </w:rPr>
                    </w:pPr>
                    <w:r>
                      <w:rPr>
                        <w:rFonts w:ascii="Arial" w:hAnsi="Arial"/>
                        <w:b/>
                        <w:color w:val="231F20"/>
                        <w:w w:val="105"/>
                        <w:sz w:val="11"/>
                      </w:rPr>
                      <w:t>CHLORITIZED ± HEMATIZED BASALT</w:t>
                    </w:r>
                  </w:p>
                </w:txbxContent>
              </v:textbox>
              <w10:wrap type="none"/>
            </v:shape>
          </v:group>
        </w:pict>
      </w:r>
      <w:r>
        <w:rPr/>
      </w:r>
    </w:p>
    <w:p>
      <w:pPr>
        <w:spacing w:before="0"/>
        <w:ind w:left="3098" w:right="0" w:firstLine="0"/>
        <w:jc w:val="left"/>
        <w:rPr>
          <w:rFonts w:ascii="Arial"/>
          <w:b/>
          <w:sz w:val="11"/>
        </w:rPr>
      </w:pPr>
      <w:r>
        <w:rPr>
          <w:rFonts w:ascii="Arial"/>
          <w:b/>
          <w:color w:val="231F20"/>
          <w:w w:val="105"/>
          <w:sz w:val="11"/>
        </w:rPr>
        <w:t>ALTERATION PIPE</w:t>
      </w:r>
    </w:p>
    <w:p>
      <w:pPr>
        <w:spacing w:line="230" w:lineRule="auto" w:before="106"/>
        <w:ind w:left="190" w:right="1112" w:firstLine="0"/>
        <w:jc w:val="both"/>
        <w:rPr>
          <w:sz w:val="16"/>
        </w:rPr>
      </w:pPr>
      <w:r>
        <w:rPr>
          <w:b/>
          <w:color w:val="231F20"/>
          <w:sz w:val="16"/>
        </w:rPr>
        <w:t>F</w:t>
      </w:r>
      <w:r>
        <w:rPr>
          <w:b/>
          <w:color w:val="231F20"/>
          <w:sz w:val="16"/>
          <w:vertAlign w:val="subscript"/>
        </w:rPr>
        <w:t>IGURE</w:t>
      </w:r>
      <w:r>
        <w:rPr>
          <w:b/>
          <w:color w:val="231F20"/>
          <w:sz w:val="16"/>
          <w:vertAlign w:val="baseline"/>
        </w:rPr>
        <w:t> 1. </w:t>
      </w:r>
      <w:r>
        <w:rPr>
          <w:color w:val="231F20"/>
          <w:sz w:val="16"/>
          <w:vertAlign w:val="baseline"/>
        </w:rPr>
        <w:t>Schematic diagram of the modern </w:t>
      </w:r>
      <w:r>
        <w:rPr>
          <w:color w:val="231F20"/>
          <w:spacing w:val="-5"/>
          <w:sz w:val="16"/>
          <w:vertAlign w:val="baseline"/>
        </w:rPr>
        <w:t>TAG </w:t>
      </w:r>
      <w:r>
        <w:rPr>
          <w:color w:val="231F20"/>
          <w:sz w:val="16"/>
          <w:vertAlign w:val="baseline"/>
        </w:rPr>
        <w:t>sulphide deposit on the Mid-Atlantic Ridge. This repre- sents</w:t>
      </w:r>
      <w:r>
        <w:rPr>
          <w:color w:val="231F20"/>
          <w:spacing w:val="-7"/>
          <w:sz w:val="16"/>
          <w:vertAlign w:val="baseline"/>
        </w:rPr>
        <w:t> </w:t>
      </w:r>
      <w:r>
        <w:rPr>
          <w:color w:val="231F20"/>
          <w:sz w:val="16"/>
          <w:vertAlign w:val="baseline"/>
        </w:rPr>
        <w:t>a</w:t>
      </w:r>
      <w:r>
        <w:rPr>
          <w:color w:val="231F20"/>
          <w:spacing w:val="-7"/>
          <w:sz w:val="16"/>
          <w:vertAlign w:val="baseline"/>
        </w:rPr>
        <w:t> </w:t>
      </w:r>
      <w:r>
        <w:rPr>
          <w:color w:val="231F20"/>
          <w:sz w:val="16"/>
          <w:vertAlign w:val="baseline"/>
        </w:rPr>
        <w:t>classic</w:t>
      </w:r>
      <w:r>
        <w:rPr>
          <w:color w:val="231F20"/>
          <w:spacing w:val="-7"/>
          <w:sz w:val="16"/>
          <w:vertAlign w:val="baseline"/>
        </w:rPr>
        <w:t> </w:t>
      </w:r>
      <w:r>
        <w:rPr>
          <w:color w:val="231F20"/>
          <w:sz w:val="16"/>
          <w:vertAlign w:val="baseline"/>
        </w:rPr>
        <w:t>cross-section</w:t>
      </w:r>
      <w:r>
        <w:rPr>
          <w:color w:val="231F20"/>
          <w:spacing w:val="-7"/>
          <w:sz w:val="16"/>
          <w:vertAlign w:val="baseline"/>
        </w:rPr>
        <w:t> </w:t>
      </w:r>
      <w:r>
        <w:rPr>
          <w:color w:val="231F20"/>
          <w:sz w:val="16"/>
          <w:vertAlign w:val="baseline"/>
        </w:rPr>
        <w:t>of</w:t>
      </w:r>
      <w:r>
        <w:rPr>
          <w:color w:val="231F20"/>
          <w:spacing w:val="-7"/>
          <w:sz w:val="16"/>
          <w:vertAlign w:val="baseline"/>
        </w:rPr>
        <w:t> </w:t>
      </w:r>
      <w:r>
        <w:rPr>
          <w:color w:val="231F20"/>
          <w:sz w:val="16"/>
          <w:vertAlign w:val="baseline"/>
        </w:rPr>
        <w:t>a</w:t>
      </w:r>
      <w:r>
        <w:rPr>
          <w:color w:val="231F20"/>
          <w:spacing w:val="-9"/>
          <w:sz w:val="16"/>
          <w:vertAlign w:val="baseline"/>
        </w:rPr>
        <w:t> </w:t>
      </w:r>
      <w:r>
        <w:rPr>
          <w:color w:val="231F20"/>
          <w:sz w:val="16"/>
          <w:vertAlign w:val="baseline"/>
        </w:rPr>
        <w:t>VMS</w:t>
      </w:r>
      <w:r>
        <w:rPr>
          <w:color w:val="231F20"/>
          <w:spacing w:val="-7"/>
          <w:sz w:val="16"/>
          <w:vertAlign w:val="baseline"/>
        </w:rPr>
        <w:t> </w:t>
      </w:r>
      <w:r>
        <w:rPr>
          <w:color w:val="231F20"/>
          <w:sz w:val="16"/>
          <w:vertAlign w:val="baseline"/>
        </w:rPr>
        <w:t>deposit,</w:t>
      </w:r>
      <w:r>
        <w:rPr>
          <w:color w:val="231F20"/>
          <w:spacing w:val="-7"/>
          <w:sz w:val="16"/>
          <w:vertAlign w:val="baseline"/>
        </w:rPr>
        <w:t> </w:t>
      </w:r>
      <w:r>
        <w:rPr>
          <w:color w:val="231F20"/>
          <w:sz w:val="16"/>
          <w:vertAlign w:val="baseline"/>
        </w:rPr>
        <w:t>with</w:t>
      </w:r>
      <w:r>
        <w:rPr>
          <w:color w:val="231F20"/>
          <w:spacing w:val="-7"/>
          <w:sz w:val="16"/>
          <w:vertAlign w:val="baseline"/>
        </w:rPr>
        <w:t> </w:t>
      </w:r>
      <w:r>
        <w:rPr>
          <w:color w:val="231F20"/>
          <w:sz w:val="16"/>
          <w:vertAlign w:val="baseline"/>
        </w:rPr>
        <w:t>concordant</w:t>
      </w:r>
      <w:r>
        <w:rPr>
          <w:color w:val="231F20"/>
          <w:spacing w:val="-7"/>
          <w:sz w:val="16"/>
          <w:vertAlign w:val="baseline"/>
        </w:rPr>
        <w:t> </w:t>
      </w:r>
      <w:r>
        <w:rPr>
          <w:color w:val="231F20"/>
          <w:sz w:val="16"/>
          <w:vertAlign w:val="baseline"/>
        </w:rPr>
        <w:t>semi-massive</w:t>
      </w:r>
      <w:r>
        <w:rPr>
          <w:color w:val="231F20"/>
          <w:spacing w:val="-7"/>
          <w:sz w:val="16"/>
          <w:vertAlign w:val="baseline"/>
        </w:rPr>
        <w:t> </w:t>
      </w:r>
      <w:r>
        <w:rPr>
          <w:color w:val="231F20"/>
          <w:sz w:val="16"/>
          <w:vertAlign w:val="baseline"/>
        </w:rPr>
        <w:t>to</w:t>
      </w:r>
      <w:r>
        <w:rPr>
          <w:color w:val="231F20"/>
          <w:spacing w:val="-7"/>
          <w:sz w:val="16"/>
          <w:vertAlign w:val="baseline"/>
        </w:rPr>
        <w:t> </w:t>
      </w:r>
      <w:r>
        <w:rPr>
          <w:color w:val="231F20"/>
          <w:sz w:val="16"/>
          <w:vertAlign w:val="baseline"/>
        </w:rPr>
        <w:t>massive</w:t>
      </w:r>
      <w:r>
        <w:rPr>
          <w:color w:val="231F20"/>
          <w:spacing w:val="-7"/>
          <w:sz w:val="16"/>
          <w:vertAlign w:val="baseline"/>
        </w:rPr>
        <w:t> </w:t>
      </w:r>
      <w:r>
        <w:rPr>
          <w:color w:val="231F20"/>
          <w:sz w:val="16"/>
          <w:vertAlign w:val="baseline"/>
        </w:rPr>
        <w:t>sulphide</w:t>
      </w:r>
      <w:r>
        <w:rPr>
          <w:color w:val="231F20"/>
          <w:spacing w:val="-7"/>
          <w:sz w:val="16"/>
          <w:vertAlign w:val="baseline"/>
        </w:rPr>
        <w:t> </w:t>
      </w:r>
      <w:r>
        <w:rPr>
          <w:color w:val="231F20"/>
          <w:sz w:val="16"/>
          <w:vertAlign w:val="baseline"/>
        </w:rPr>
        <w:t>lens</w:t>
      </w:r>
      <w:r>
        <w:rPr>
          <w:color w:val="231F20"/>
          <w:spacing w:val="-7"/>
          <w:sz w:val="16"/>
          <w:vertAlign w:val="baseline"/>
        </w:rPr>
        <w:t> </w:t>
      </w:r>
      <w:r>
        <w:rPr>
          <w:color w:val="231F20"/>
          <w:sz w:val="16"/>
          <w:vertAlign w:val="baseline"/>
        </w:rPr>
        <w:t>under- lain by a discordant stockwork vein system and associated alteration halo, or “pipe”. From Hannington et al. (1998).</w:t>
      </w:r>
    </w:p>
    <w:p>
      <w:pPr>
        <w:pStyle w:val="BodyText"/>
        <w:spacing w:before="4"/>
        <w:rPr>
          <w:sz w:val="24"/>
        </w:rPr>
      </w:pPr>
    </w:p>
    <w:p>
      <w:pPr>
        <w:spacing w:line="53" w:lineRule="exact" w:before="0"/>
        <w:ind w:left="1991" w:right="0" w:firstLine="0"/>
        <w:jc w:val="left"/>
        <w:rPr>
          <w:rFonts w:ascii="Arial"/>
          <w:b/>
          <w:sz w:val="16"/>
        </w:rPr>
      </w:pPr>
      <w:r>
        <w:rPr/>
        <w:pict>
          <v:group style="position:absolute;margin-left:217.614502pt;margin-top:7.930896pt;width:339.9pt;height:321.75pt;mso-position-horizontal-relative:page;mso-position-vertical-relative:paragraph;z-index:-182032" coordorigin="4352,159" coordsize="6798,6435">
            <v:shape style="position:absolute;left:7178;top:3107;width:3972;height:3195" type="#_x0000_t75" stroked="false">
              <v:imagedata r:id="rId20" o:title=""/>
            </v:shape>
            <v:shape style="position:absolute;left:9003;top:6335;width:297;height:258" type="#_x0000_t75" stroked="false">
              <v:imagedata r:id="rId21" o:title=""/>
            </v:shape>
            <v:line style="position:absolute" from="9599,6448" to="9378,6448" stroked="true" strokeweight=".513pt" strokecolor="#231f20">
              <v:stroke dashstyle="solid"/>
            </v:line>
            <v:shape style="position:absolute;left:9330;top:6417;width:96;height:62" coordorigin="9330,6417" coordsize="96,62" path="m9426,6417l9378,6417,9330,6448,9378,6479,9426,6479,9382,6448,9426,6417xe" filled="true" fillcolor="#231f20" stroked="false">
              <v:path arrowok="t"/>
              <v:fill type="solid"/>
            </v:shape>
            <v:shape style="position:absolute;left:7041;top:3277;width:3490;height:3017" coordorigin="7041,3278" coordsize="3490,3017" path="m8782,3278l10531,6295,7041,6286,8782,3278xe" filled="false" stroked="true" strokeweight=".443pt" strokecolor="#231f20">
              <v:path arrowok="t"/>
              <v:stroke dashstyle="solid"/>
            </v:shape>
            <v:line style="position:absolute" from="8958,3539" to="9136,3447" stroked="true" strokeweight=".443pt" strokecolor="#231f20">
              <v:stroke dashstyle="solid"/>
            </v:line>
            <v:shape style="position:absolute;left:8920;top:3478;width:97;height:83" coordorigin="8920,3478" coordsize="97,83" path="m8974,3478l8920,3558,9017,3561,8974,3478xe" filled="true" fillcolor="#231f20" stroked="false">
              <v:path arrowok="t"/>
              <v:fill type="solid"/>
            </v:shape>
            <v:shape style="position:absolute;left:4352;top:187;width:3596;height:3028" type="#_x0000_t75" stroked="false">
              <v:imagedata r:id="rId22" o:title=""/>
            </v:shape>
            <v:shape style="position:absolute;left:-681;top:6687;width:1560;height:2489" coordorigin="-680,6688" coordsize="1560,2489" path="m7501,2510l7615,2682m7420,2374l7501,2510m6932,1582l7335,2238m6712,1250l6870,1483m6307,593l6713,1250m6284,560l6307,594m6249,498l6284,559m6181,397l6250,498m6056,193l6180,398e" filled="false" stroked="true" strokeweight=".443pt" strokecolor="#231f20">
              <v:path arrowok="t"/>
              <v:stroke dashstyle="solid"/>
            </v:shape>
            <v:shape style="position:absolute;left:-1585;top:6246;width:1657;height:3017" coordorigin="-1584,6246" coordsize="1657,3017" path="m7615,2682l7602,2734,7608,2770,7636,2820,7668,2860,7684,2884,7688,2919,7678,3002,7653,3053,7618,3091,7558,3124,7501,3137,7463,3151,7427,3163,7405,3209m6031,252l6056,192e" filled="false" stroked="true" strokeweight=".517pt" strokecolor="#231f20">
              <v:path arrowok="t"/>
              <v:stroke dashstyle="solid"/>
            </v:shape>
            <v:shape style="position:absolute;left:6043;top:3172;width:132;height:29" coordorigin="6044,3173" coordsize="132,29" path="m6044,3201l6133,3173,6175,3183e" filled="false" stroked="true" strokeweight=".443pt" strokecolor="#231f20">
              <v:path arrowok="t"/>
              <v:stroke dashstyle="solid"/>
            </v:shape>
            <v:shape style="position:absolute;left:7289;top:2232;width:135;height:252" type="#_x0000_t75" stroked="false">
              <v:imagedata r:id="rId23" o:title=""/>
            </v:shape>
            <v:shape style="position:absolute;left:6174;top:3183;width:65;height:5" coordorigin="6175,3184" coordsize="65,5" path="m6175,3184l6216,3185,6239,3189e" filled="false" stroked="true" strokeweight=".222pt" strokecolor="#231f20">
              <v:path arrowok="t"/>
              <v:stroke dashstyle="solid"/>
            </v:shape>
            <v:shape style="position:absolute;left:-266;top:8735;width:326;height:85" coordorigin="-266,8736" coordsize="326,85" path="m6504,3124l6526,3131,6543,3152,6557,3179,6564,3208m6239,3188l6302,3186,6378,3164,6423,3141,6468,3129,6504,3124e" filled="false" stroked="true" strokeweight=".443pt" strokecolor="#231f20">
              <v:path arrowok="t"/>
              <v:stroke dashstyle="solid"/>
            </v:shape>
            <v:shape style="position:absolute;left:6860;top:1486;width:69;height:97" coordorigin="6861,1486" coordsize="69,97" path="m6867,1486l6861,1526,6864,1560,6881,1582,6906,1582,6929,1583,6867,1486xe" filled="true" fillcolor="#fffcd5" stroked="false">
              <v:path arrowok="t"/>
              <v:fill type="solid"/>
            </v:shape>
            <v:shape style="position:absolute;left:6860;top:1486;width:69;height:97" coordorigin="6861,1486" coordsize="69,97" path="m6929,1583l6906,1582,6881,1582,6864,1560,6861,1526,6867,1486,6929,1583xe" filled="false" stroked="true" strokeweight=".443pt" strokecolor="#231f20">
              <v:path arrowok="t"/>
              <v:stroke dashstyle="solid"/>
            </v:shape>
            <v:shape style="position:absolute;left:6048;top:275;width:1384;height:2864" coordorigin="6048,275" coordsize="1384,2864" path="m6048,275l7211,2399,7312,2580,7351,2693,7399,2829,7417,2952,7432,3139e" filled="false" stroked="true" strokeweight="1.231pt" strokecolor="#231f20">
              <v:path arrowok="t"/>
              <v:stroke dashstyle="shortdash"/>
            </v:shape>
            <v:line style="position:absolute" from="6269,429" to="6447,338" stroked="true" strokeweight=".443pt" strokecolor="#231f20">
              <v:stroke dashstyle="solid"/>
            </v:line>
            <v:shape style="position:absolute;left:6231;top:368;width:97;height:83" coordorigin="6231,369" coordsize="97,83" path="m6285,369l6231,448,6328,451,6285,369xe" filled="true" fillcolor="#231f20" stroked="false">
              <v:path arrowok="t"/>
              <v:fill type="solid"/>
            </v:shape>
            <v:line style="position:absolute" from="7406,2276" to="7577,2113" stroked="true" strokeweight=".443pt" strokecolor="#231f20">
              <v:stroke dashstyle="solid"/>
            </v:line>
            <v:shape style="position:absolute;left:7375;top:2213;width:94;height:92" coordorigin="7376,2214" coordsize="94,92" path="m7405,2214l7376,2306,7469,2281,7405,2214xe" filled="true" fillcolor="#231f20" stroked="false">
              <v:path arrowok="t"/>
              <v:fill type="solid"/>
            </v:shape>
            <v:line style="position:absolute" from="6375,1995" to="6155,1761" stroked="true" strokeweight=".443pt" strokecolor="#231f20">
              <v:stroke dashstyle="solid"/>
            </v:line>
            <v:shape style="position:absolute;left:6312;top:1932;width:92;height:94" coordorigin="6312,1932" coordsize="92,94" path="m6380,1932l6312,1996,6404,2026,6380,1932xe" filled="true" fillcolor="#231f20" stroked="false">
              <v:path arrowok="t"/>
              <v:fill type="solid"/>
            </v:shape>
            <v:line style="position:absolute" from="6164,2962" to="5884,2666" stroked="true" strokeweight=".443pt" strokecolor="#231f20">
              <v:stroke dashstyle="solid"/>
            </v:line>
            <v:shape style="position:absolute;left:6100;top:2899;width:92;height:94" coordorigin="6101,2900" coordsize="92,94" path="m6168,2900l6101,2963,6192,2993,6168,2900xe" filled="true" fillcolor="#231f20" stroked="false">
              <v:path arrowok="t"/>
              <v:fill type="solid"/>
            </v:shape>
            <v:shape style="position:absolute;left:6340;top:2469;width:353;height:682" coordorigin="6341,2469" coordsize="353,682" path="m6341,2469l6487,2706,6597,2872,6643,2993,6693,3151e" filled="false" stroked="true" strokeweight="1.231pt" strokecolor="#231f20">
              <v:path arrowok="t"/>
              <v:stroke dashstyle="shortdash"/>
            </v:shape>
            <v:line style="position:absolute" from="6732,194" to="8497,3002" stroked="true" strokeweight=".443pt" strokecolor="#231f20">
              <v:stroke dashstyle="solid"/>
            </v:line>
            <v:shape style="position:absolute;left:6709;top:158;width:1811;height:2879" coordorigin="6710,159" coordsize="1811,2879" path="m6794,205l6710,159,6715,255,6794,205m8520,3037l8514,2941,8435,2991,8520,3037e" filled="true" fillcolor="#231f20" stroked="false">
              <v:path arrowok="t"/>
              <v:fill type="solid"/>
            </v:shape>
            <v:shape style="position:absolute;left:7341;top:1210;width:472;height:659" coordorigin="7342,1210" coordsize="472,659" path="m7459,1210l7342,1284,7667,1869,7813,1778,7459,1210xe" filled="true" fillcolor="#ffffff" stroked="false">
              <v:path arrowok="t"/>
              <v:fill type="solid"/>
            </v:shape>
            <v:shape style="position:absolute;left:6860;top:1480;width:72;height:102" coordorigin="6861,1481" coordsize="72,102" path="m6871,1481l6861,1526,6864,1560,6881,1582,6932,1581,6871,1481xe" filled="true" fillcolor="#ec464a" stroked="false">
              <v:path arrowok="t"/>
              <v:fill type="solid"/>
            </v:shape>
            <v:shape style="position:absolute;left:6860;top:1480;width:72;height:102" coordorigin="6861,1481" coordsize="72,102" path="m6932,1581l6881,1582,6864,1560,6861,1526,6871,1481,6932,1581xe" filled="false" stroked="true" strokeweight=".517pt" strokecolor="#231f20">
              <v:path arrowok="t"/>
              <v:stroke dashstyle="solid"/>
            </v:shape>
            <v:shape style="position:absolute;left:7289;top:2231;width:137;height:253" type="#_x0000_t75" stroked="false">
              <v:imagedata r:id="rId24" o:title=""/>
            </v:shape>
            <v:shape style="position:absolute;left:6043;top:3124;width:519;height:85" coordorigin="6044,3124" coordsize="519,85" path="m6133,3174l6044,3203,6044,3209,6562,3209,6559,3189,6240,3189,6217,3185,6175,3184,6133,3174xm6505,3124l6469,3129,6424,3142,6379,3164,6303,3186,6240,3189,6559,3189,6558,3180,6543,3153,6526,3132,6505,3124xe" filled="true" fillcolor="#ec464a" stroked="false">
              <v:path arrowok="t"/>
              <v:fill type="solid"/>
            </v:shape>
            <v:shape style="position:absolute;left:6043;top:3124;width:519;height:85" coordorigin="6044,3124" coordsize="519,85" path="m6562,3209l6558,3180,6543,3153,6526,3132,6505,3124,6469,3129,6424,3142,6379,3164,6303,3186,6240,3189,6217,3185,6175,3184,6133,3174,6044,3203,6044,3209,6562,3209xe" filled="false" stroked="true" strokeweight=".517pt" strokecolor="#231f20">
              <v:path arrowok="t"/>
              <v:stroke dashstyle="solid"/>
            </v:shape>
            <v:shape style="position:absolute;left:6804;top:2980;width:400;height:231" type="#_x0000_t75" stroked="false">
              <v:imagedata r:id="rId25" o:title=""/>
            </v:shape>
            <v:shape style="position:absolute;left:6804;top:2980;width:400;height:231" coordorigin="6805,2981" coordsize="400,231" path="m7204,3211l7164,3123,7099,3045,7030,2991,6980,2981,6942,2981,6850,3000,6810,3055,6805,3080,6810,3114,6821,3142,6844,3166,6869,3176,6881,3193,6885,3209,7204,3211xe" filled="false" stroked="true" strokeweight=".517pt" strokecolor="#231f20">
              <v:path arrowok="t"/>
              <v:stroke dashstyle="solid"/>
            </v:shape>
            <v:line style="position:absolute" from="6405,3346" to="6627,3346" stroked="true" strokeweight=".513pt" strokecolor="#231f20">
              <v:stroke dashstyle="solid"/>
            </v:line>
            <v:shape style="position:absolute;left:6578;top:3315;width:96;height:63" coordorigin="6579,3315" coordsize="96,63" path="m6627,3315l6579,3315,6623,3346,6579,3377,6627,3377,6675,3346,6627,3315xe" filled="true" fillcolor="#231f20" stroked="false">
              <v:path arrowok="t"/>
              <v:fill type="solid"/>
            </v:shape>
            <v:line style="position:absolute" from="7001,3345" to="6780,3345" stroked="true" strokeweight=".513pt" strokecolor="#231f20">
              <v:stroke dashstyle="solid"/>
            </v:line>
            <v:shape style="position:absolute;left:6732;top:3313;width:96;height:62" coordorigin="6732,3314" coordsize="96,62" path="m6828,3314l6780,3314,6732,3345,6780,3376,6828,3376,6784,3345,6828,3314xe" filled="true" fillcolor="#231f20" stroked="false">
              <v:path arrowok="t"/>
              <v:fill type="solid"/>
            </v:shape>
            <v:shape style="position:absolute;left:-2253;top:8735;width:4256;height:2983" coordorigin="-2252,8736" coordsize="4256,2983" path="m8958,527l10961,527m6706,3251l6706,3509e" filled="false" stroked="true" strokeweight=".513pt" strokecolor="#231f20">
              <v:path arrowok="t"/>
              <v:stroke dashstyle="solid"/>
            </v:shape>
            <w10:wrap type="none"/>
          </v:group>
        </w:pict>
      </w:r>
      <w:r>
        <w:rPr>
          <w:rFonts w:ascii="Arial"/>
          <w:b/>
          <w:color w:val="231F20"/>
          <w:w w:val="105"/>
          <w:sz w:val="16"/>
        </w:rPr>
        <w:t>Cu</w:t>
      </w:r>
    </w:p>
    <w:p>
      <w:pPr>
        <w:spacing w:after="0" w:line="53" w:lineRule="exact"/>
        <w:jc w:val="left"/>
        <w:rPr>
          <w:rFonts w:ascii="Arial"/>
          <w:sz w:val="16"/>
        </w:rPr>
        <w:sectPr>
          <w:headerReference w:type="even" r:id="rId6"/>
          <w:headerReference w:type="default" r:id="rId7"/>
          <w:footerReference w:type="even" r:id="rId8"/>
          <w:footerReference w:type="default" r:id="rId9"/>
          <w:pgSz w:w="12240" w:h="15840"/>
          <w:pgMar w:header="673" w:footer="779" w:top="1000" w:bottom="960" w:left="0" w:right="0"/>
          <w:pgNumType w:start="142"/>
          <w:cols w:num="2" w:equalWidth="0">
            <w:col w:w="3930" w:space="40"/>
            <w:col w:w="8270"/>
          </w:cols>
        </w:sectPr>
      </w:pPr>
    </w:p>
    <w:p>
      <w:pPr>
        <w:pStyle w:val="BodyText"/>
        <w:spacing w:line="201" w:lineRule="exact"/>
        <w:ind w:left="1100"/>
      </w:pPr>
      <w:r>
        <w:rPr>
          <w:color w:val="231F20"/>
        </w:rPr>
        <w:t>disseminated sulphides. The stock-</w:t>
      </w:r>
    </w:p>
    <w:p>
      <w:pPr>
        <w:pStyle w:val="BodyText"/>
        <w:spacing w:line="230" w:lineRule="auto" w:before="2"/>
        <w:ind w:left="1100" w:right="1"/>
        <w:jc w:val="both"/>
      </w:pPr>
      <w:r>
        <w:rPr>
          <w:color w:val="231F20"/>
        </w:rPr>
        <w:t>work vein systems, or “pipes”, are enveloped in distinctive alteration halos, which may extend into the hanging-wall strata above the</w:t>
      </w:r>
      <w:r>
        <w:rPr>
          <w:color w:val="231F20"/>
          <w:spacing w:val="-28"/>
        </w:rPr>
        <w:t> </w:t>
      </w:r>
      <w:r>
        <w:rPr>
          <w:color w:val="231F20"/>
        </w:rPr>
        <w:t>VMS deposit.</w:t>
      </w:r>
    </w:p>
    <w:p>
      <w:pPr>
        <w:pStyle w:val="BodyText"/>
        <w:spacing w:line="230" w:lineRule="auto" w:before="32"/>
        <w:ind w:left="1100" w:firstLine="216"/>
        <w:jc w:val="both"/>
      </w:pPr>
      <w:r>
        <w:rPr/>
        <w:pict>
          <v:shape style="position:absolute;margin-left:368.984558pt;margin-top:4.85049pt;width:23.75pt;height:8.25pt;mso-position-horizontal-relative:page;mso-position-vertical-relative:paragraph;z-index:1360;rotation:56" type="#_x0000_t136" fillcolor="#231f20" stroked="f">
            <o:extrusion v:ext="view" autorotationcenter="t"/>
            <v:textpath style="font-family:&amp;quot;Arial&amp;quot;;font-size:8pt;v-text-kern:t;mso-text-shadow:auto;font-weight:bold" string="Cu-Zn"/>
            <w10:wrap type="none"/>
          </v:shape>
        </w:pict>
      </w:r>
      <w:r>
        <w:rPr>
          <w:color w:val="231F20"/>
        </w:rPr>
        <w:t>VMS deposits are grouped according to base metal content, gold content, and host-rock lithol- ogy (Figs. 2, 3, 4). The base metal classification used by Franklin et al. (1981) and refined by Large (1992) and Franklin et al. (2005) is</w:t>
      </w:r>
    </w:p>
    <w:p>
      <w:pPr>
        <w:spacing w:line="207" w:lineRule="exact" w:before="136"/>
        <w:ind w:left="504" w:right="0" w:firstLine="0"/>
        <w:jc w:val="left"/>
        <w:rPr>
          <w:rFonts w:ascii="Arial"/>
          <w:b/>
          <w:sz w:val="18"/>
        </w:rPr>
      </w:pPr>
      <w:r>
        <w:rPr/>
        <w:br w:type="column"/>
      </w:r>
      <w:r>
        <w:rPr>
          <w:rFonts w:ascii="Arial"/>
          <w:b/>
          <w:color w:val="231F20"/>
          <w:w w:val="105"/>
          <w:sz w:val="18"/>
        </w:rPr>
        <w:t>World</w:t>
      </w:r>
      <w:r>
        <w:rPr>
          <w:rFonts w:ascii="Arial"/>
          <w:b/>
          <w:color w:val="231F20"/>
          <w:spacing w:val="-27"/>
          <w:w w:val="105"/>
          <w:sz w:val="18"/>
        </w:rPr>
        <w:t> </w:t>
      </w:r>
      <w:r>
        <w:rPr>
          <w:rFonts w:ascii="Arial"/>
          <w:b/>
          <w:color w:val="231F20"/>
          <w:w w:val="105"/>
          <w:sz w:val="18"/>
        </w:rPr>
        <w:t>VMS</w:t>
      </w:r>
    </w:p>
    <w:p>
      <w:pPr>
        <w:spacing w:before="0"/>
        <w:ind w:left="510" w:right="-14" w:firstLine="20"/>
        <w:jc w:val="left"/>
        <w:rPr>
          <w:rFonts w:ascii="Arial"/>
          <w:sz w:val="14"/>
        </w:rPr>
      </w:pPr>
      <w:r>
        <w:rPr>
          <w:rFonts w:ascii="Arial"/>
          <w:color w:val="231F20"/>
          <w:w w:val="105"/>
          <w:sz w:val="14"/>
        </w:rPr>
        <w:t>(Modified from </w:t>
      </w:r>
      <w:r>
        <w:rPr>
          <w:rFonts w:ascii="Arial"/>
          <w:color w:val="231F20"/>
          <w:sz w:val="14"/>
        </w:rPr>
        <w:t>Franklin, 1996)</w:t>
      </w:r>
    </w:p>
    <w:p>
      <w:pPr>
        <w:spacing w:before="80"/>
        <w:ind w:left="0" w:right="0" w:firstLine="0"/>
        <w:jc w:val="right"/>
        <w:rPr>
          <w:rFonts w:ascii="Arial"/>
          <w:b/>
          <w:sz w:val="16"/>
        </w:rPr>
      </w:pPr>
      <w:r>
        <w:rPr/>
        <w:br w:type="column"/>
      </w:r>
      <w:r>
        <w:rPr>
          <w:rFonts w:ascii="Arial"/>
          <w:b/>
          <w:color w:val="231F20"/>
          <w:sz w:val="16"/>
        </w:rPr>
        <w:t>Cu</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6"/>
        <w:rPr>
          <w:rFonts w:ascii="Arial"/>
          <w:b/>
          <w:sz w:val="14"/>
        </w:rPr>
      </w:pPr>
    </w:p>
    <w:p>
      <w:pPr>
        <w:spacing w:before="0"/>
        <w:ind w:left="183" w:right="0" w:firstLine="0"/>
        <w:jc w:val="left"/>
        <w:rPr>
          <w:rFonts w:ascii="Arial"/>
          <w:b/>
          <w:sz w:val="16"/>
        </w:rPr>
      </w:pPr>
      <w:r>
        <w:rPr>
          <w:rFonts w:ascii="Arial"/>
          <w:b/>
          <w:color w:val="231F20"/>
          <w:w w:val="105"/>
          <w:sz w:val="16"/>
        </w:rPr>
        <w:t>Zn-Pb-Cu</w:t>
      </w:r>
    </w:p>
    <w:p>
      <w:pPr>
        <w:pStyle w:val="BodyText"/>
        <w:rPr>
          <w:rFonts w:ascii="Arial"/>
          <w:b/>
          <w:sz w:val="18"/>
        </w:rPr>
      </w:pPr>
    </w:p>
    <w:p>
      <w:pPr>
        <w:pStyle w:val="BodyText"/>
        <w:rPr>
          <w:rFonts w:ascii="Arial"/>
          <w:b/>
          <w:sz w:val="18"/>
        </w:rPr>
      </w:pPr>
    </w:p>
    <w:p>
      <w:pPr>
        <w:pStyle w:val="BodyText"/>
        <w:rPr>
          <w:rFonts w:ascii="Arial"/>
          <w:b/>
          <w:sz w:val="18"/>
        </w:rPr>
      </w:pPr>
    </w:p>
    <w:p>
      <w:pPr>
        <w:spacing w:before="110"/>
        <w:ind w:left="-10" w:right="0" w:firstLine="0"/>
        <w:jc w:val="left"/>
        <w:rPr>
          <w:rFonts w:ascii="Arial"/>
          <w:b/>
          <w:sz w:val="16"/>
        </w:rPr>
      </w:pPr>
      <w:r>
        <w:rPr>
          <w:rFonts w:ascii="Arial"/>
          <w:b/>
          <w:color w:val="231F20"/>
          <w:w w:val="105"/>
          <w:sz w:val="16"/>
        </w:rPr>
        <w:t>Pb-Zn</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0"/>
        <w:rPr>
          <w:rFonts w:ascii="Arial"/>
          <w:b/>
          <w:sz w:val="16"/>
        </w:rPr>
      </w:pPr>
    </w:p>
    <w:p>
      <w:pPr>
        <w:spacing w:before="0"/>
        <w:ind w:left="578" w:right="0" w:firstLine="0"/>
        <w:jc w:val="left"/>
        <w:rPr>
          <w:rFonts w:ascii="Arial"/>
          <w:b/>
          <w:sz w:val="16"/>
        </w:rPr>
      </w:pPr>
      <w:r>
        <w:rPr>
          <w:rFonts w:ascii="Arial"/>
          <w:b/>
          <w:color w:val="231F20"/>
          <w:w w:val="105"/>
          <w:sz w:val="16"/>
        </w:rPr>
        <w:t>Zn-Cu</w:t>
      </w:r>
    </w:p>
    <w:p>
      <w:pPr>
        <w:pStyle w:val="BodyText"/>
        <w:spacing w:before="7"/>
        <w:rPr>
          <w:rFonts w:ascii="Arial"/>
          <w:b/>
          <w:sz w:val="19"/>
        </w:rPr>
      </w:pPr>
      <w:r>
        <w:rPr/>
        <w:br w:type="column"/>
      </w:r>
      <w:r>
        <w:rPr>
          <w:rFonts w:ascii="Arial"/>
          <w:b/>
          <w:sz w:val="19"/>
        </w:rPr>
      </w:r>
    </w:p>
    <w:p>
      <w:pPr>
        <w:spacing w:before="0"/>
        <w:ind w:left="1064" w:right="1226" w:firstLine="0"/>
        <w:jc w:val="center"/>
        <w:rPr>
          <w:rFonts w:ascii="Arial"/>
          <w:b/>
          <w:sz w:val="18"/>
        </w:rPr>
      </w:pPr>
      <w:r>
        <w:rPr>
          <w:rFonts w:ascii="Arial"/>
          <w:b/>
          <w:color w:val="231F20"/>
          <w:w w:val="105"/>
          <w:sz w:val="18"/>
        </w:rPr>
        <w:t>10</w:t>
      </w:r>
      <w:r>
        <w:rPr>
          <w:rFonts w:ascii="Arial"/>
          <w:b/>
          <w:color w:val="231F20"/>
          <w:w w:val="105"/>
          <w:position w:val="4"/>
          <w:sz w:val="14"/>
        </w:rPr>
        <w:t>3 </w:t>
      </w:r>
      <w:r>
        <w:rPr>
          <w:rFonts w:ascii="Arial"/>
          <w:b/>
          <w:color w:val="231F20"/>
          <w:w w:val="105"/>
          <w:position w:val="1"/>
          <w:sz w:val="18"/>
        </w:rPr>
        <w:t>tonnes per 1% area</w:t>
      </w:r>
    </w:p>
    <w:p>
      <w:pPr>
        <w:spacing w:before="175"/>
        <w:ind w:left="542" w:right="1226" w:firstLine="0"/>
        <w:jc w:val="center"/>
        <w:rPr>
          <w:rFonts w:ascii="Arial"/>
          <w:b/>
          <w:sz w:val="16"/>
        </w:rPr>
      </w:pPr>
      <w:r>
        <w:rPr/>
        <w:pict>
          <v:shape style="position:absolute;margin-left:439.819489pt;margin-top:4.936213pt;width:30.55pt;height:66.05pt;mso-position-horizontal-relative:page;mso-position-vertical-relative:paragraph;z-index:1384" type="#_x0000_t202" filled="false" stroked="false">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95"/>
                  </w:tblGrid>
                  <w:tr>
                    <w:trPr>
                      <w:trHeight w:val="277" w:hRule="atLeast"/>
                    </w:trPr>
                    <w:tc>
                      <w:tcPr>
                        <w:tcW w:w="595" w:type="dxa"/>
                        <w:tcBorders>
                          <w:bottom w:val="double" w:sz="2" w:space="0" w:color="231F20"/>
                        </w:tcBorders>
                        <w:shd w:val="clear" w:color="auto" w:fill="F2D0D1"/>
                      </w:tcPr>
                      <w:p>
                        <w:pPr>
                          <w:pStyle w:val="TableParagraph"/>
                          <w:spacing w:line="240" w:lineRule="auto" w:before="0"/>
                          <w:rPr>
                            <w:rFonts w:ascii="Times New Roman"/>
                            <w:sz w:val="18"/>
                          </w:rPr>
                        </w:pPr>
                      </w:p>
                    </w:tc>
                  </w:tr>
                  <w:tr>
                    <w:trPr>
                      <w:trHeight w:val="295" w:hRule="atLeast"/>
                    </w:trPr>
                    <w:tc>
                      <w:tcPr>
                        <w:tcW w:w="595" w:type="dxa"/>
                        <w:tcBorders>
                          <w:top w:val="double" w:sz="2" w:space="0" w:color="231F20"/>
                          <w:bottom w:val="double" w:sz="2" w:space="0" w:color="231F20"/>
                        </w:tcBorders>
                        <w:shd w:val="clear" w:color="auto" w:fill="F4A29B"/>
                      </w:tcPr>
                      <w:p>
                        <w:pPr>
                          <w:pStyle w:val="TableParagraph"/>
                          <w:spacing w:line="240" w:lineRule="auto" w:before="0"/>
                          <w:rPr>
                            <w:rFonts w:ascii="Times New Roman"/>
                            <w:sz w:val="18"/>
                          </w:rPr>
                        </w:pPr>
                      </w:p>
                    </w:tc>
                  </w:tr>
                  <w:tr>
                    <w:trPr>
                      <w:trHeight w:val="302" w:hRule="atLeast"/>
                    </w:trPr>
                    <w:tc>
                      <w:tcPr>
                        <w:tcW w:w="595" w:type="dxa"/>
                        <w:tcBorders>
                          <w:top w:val="double" w:sz="2" w:space="0" w:color="231F20"/>
                          <w:bottom w:val="double" w:sz="2" w:space="0" w:color="231F20"/>
                        </w:tcBorders>
                        <w:shd w:val="clear" w:color="auto" w:fill="F0766C"/>
                      </w:tcPr>
                      <w:p>
                        <w:pPr>
                          <w:pStyle w:val="TableParagraph"/>
                          <w:spacing w:line="240" w:lineRule="auto" w:before="0"/>
                          <w:rPr>
                            <w:rFonts w:ascii="Times New Roman"/>
                            <w:sz w:val="18"/>
                          </w:rPr>
                        </w:pPr>
                      </w:p>
                    </w:tc>
                  </w:tr>
                  <w:tr>
                    <w:trPr>
                      <w:trHeight w:val="284" w:hRule="atLeast"/>
                    </w:trPr>
                    <w:tc>
                      <w:tcPr>
                        <w:tcW w:w="595" w:type="dxa"/>
                        <w:tcBorders>
                          <w:top w:val="double" w:sz="2" w:space="0" w:color="231F20"/>
                        </w:tcBorders>
                        <w:shd w:val="clear" w:color="auto" w:fill="EC464A"/>
                      </w:tcPr>
                      <w:p>
                        <w:pPr>
                          <w:pStyle w:val="TableParagraph"/>
                          <w:spacing w:line="240" w:lineRule="auto" w:before="0"/>
                          <w:rPr>
                            <w:rFonts w:ascii="Times New Roman"/>
                            <w:sz w:val="18"/>
                          </w:rPr>
                        </w:pPr>
                      </w:p>
                    </w:tc>
                  </w:tr>
                </w:tbl>
                <w:p>
                  <w:pPr>
                    <w:pStyle w:val="BodyText"/>
                  </w:pPr>
                </w:p>
              </w:txbxContent>
            </v:textbox>
            <w10:wrap type="none"/>
          </v:shape>
        </w:pict>
      </w:r>
      <w:r>
        <w:rPr>
          <w:rFonts w:ascii="Arial"/>
          <w:b/>
          <w:color w:val="231F20"/>
          <w:w w:val="105"/>
          <w:sz w:val="16"/>
        </w:rPr>
        <w:t>1-100</w:t>
      </w:r>
    </w:p>
    <w:p>
      <w:pPr>
        <w:spacing w:before="140"/>
        <w:ind w:left="779" w:right="1226" w:firstLine="0"/>
        <w:jc w:val="center"/>
        <w:rPr>
          <w:rFonts w:ascii="Arial"/>
          <w:b/>
          <w:sz w:val="16"/>
        </w:rPr>
      </w:pPr>
      <w:r>
        <w:rPr>
          <w:rFonts w:ascii="Arial"/>
          <w:b/>
          <w:color w:val="231F20"/>
          <w:w w:val="105"/>
          <w:sz w:val="16"/>
        </w:rPr>
        <w:t>100-1000</w:t>
      </w:r>
    </w:p>
    <w:p>
      <w:pPr>
        <w:spacing w:before="160"/>
        <w:ind w:left="1017" w:right="1226" w:firstLine="0"/>
        <w:jc w:val="center"/>
        <w:rPr>
          <w:rFonts w:ascii="Arial"/>
          <w:b/>
          <w:sz w:val="16"/>
        </w:rPr>
      </w:pPr>
      <w:r>
        <w:rPr>
          <w:rFonts w:ascii="Arial"/>
          <w:b/>
          <w:color w:val="231F20"/>
          <w:w w:val="105"/>
          <w:sz w:val="16"/>
        </w:rPr>
        <w:t>1000-10 000</w:t>
      </w:r>
    </w:p>
    <w:p>
      <w:pPr>
        <w:pStyle w:val="BodyText"/>
        <w:spacing w:before="9"/>
        <w:rPr>
          <w:rFonts w:ascii="Arial"/>
          <w:b/>
          <w:sz w:val="15"/>
        </w:rPr>
      </w:pPr>
    </w:p>
    <w:p>
      <w:pPr>
        <w:spacing w:before="0"/>
        <w:ind w:left="702" w:right="1226" w:firstLine="0"/>
        <w:jc w:val="center"/>
        <w:rPr>
          <w:rFonts w:ascii="Arial"/>
          <w:b/>
          <w:sz w:val="16"/>
        </w:rPr>
      </w:pPr>
      <w:r>
        <w:rPr>
          <w:rFonts w:ascii="Arial"/>
          <w:b/>
          <w:color w:val="231F20"/>
          <w:w w:val="105"/>
          <w:sz w:val="16"/>
        </w:rPr>
        <w:t>&gt;10 000</w:t>
      </w:r>
    </w:p>
    <w:p>
      <w:pPr>
        <w:spacing w:after="0"/>
        <w:jc w:val="center"/>
        <w:rPr>
          <w:rFonts w:ascii="Arial"/>
          <w:sz w:val="16"/>
        </w:rPr>
        <w:sectPr>
          <w:type w:val="continuous"/>
          <w:pgSz w:w="12240" w:h="15840"/>
          <w:pgMar w:top="920" w:bottom="280" w:left="0" w:right="0"/>
          <w:cols w:num="5" w:equalWidth="0">
            <w:col w:w="3929" w:space="40"/>
            <w:col w:w="1476" w:space="39"/>
            <w:col w:w="1166" w:space="40"/>
            <w:col w:w="1094" w:space="58"/>
            <w:col w:w="4398"/>
          </w:cols>
        </w:sectPr>
      </w:pPr>
    </w:p>
    <w:p>
      <w:pPr>
        <w:pStyle w:val="BodyText"/>
        <w:spacing w:line="230" w:lineRule="auto"/>
        <w:ind w:left="1100"/>
        <w:jc w:val="both"/>
      </w:pPr>
      <w:r>
        <w:rPr>
          <w:color w:val="231F20"/>
        </w:rPr>
        <w:t>perhaps the most common. VMS deposits are divided into Cu-Zn, Zn-Cu, and Zn-Pb-Cu groups according to their contained ratios of these three metals (Fig. 2). The Cu-Zn and Zn-Cu categories for Canadian deposits were further refined by Morton and Franklin</w:t>
      </w:r>
    </w:p>
    <w:p>
      <w:pPr>
        <w:tabs>
          <w:tab w:pos="3972" w:val="left" w:leader="none"/>
          <w:tab w:pos="4705" w:val="left" w:leader="none"/>
        </w:tabs>
        <w:spacing w:line="191" w:lineRule="exact" w:before="81"/>
        <w:ind w:left="169" w:right="0" w:firstLine="0"/>
        <w:jc w:val="left"/>
        <w:rPr>
          <w:rFonts w:ascii="Arial"/>
          <w:b/>
          <w:sz w:val="16"/>
        </w:rPr>
      </w:pPr>
      <w:r>
        <w:rPr/>
        <w:br w:type="column"/>
      </w:r>
      <w:r>
        <w:rPr>
          <w:rFonts w:ascii="Arial"/>
          <w:b/>
          <w:color w:val="231F20"/>
          <w:w w:val="105"/>
          <w:sz w:val="16"/>
        </w:rPr>
        <w:t>Pb</w:t>
      </w:r>
      <w:r>
        <w:rPr>
          <w:rFonts w:ascii="Arial"/>
          <w:b/>
          <w:color w:val="231F20"/>
          <w:w w:val="105"/>
          <w:sz w:val="16"/>
          <w:u w:val="single" w:color="231F20"/>
        </w:rPr>
        <w:tab/>
      </w:r>
      <w:r>
        <w:rPr>
          <w:rFonts w:ascii="Arial"/>
          <w:b/>
          <w:color w:val="231F20"/>
          <w:w w:val="105"/>
          <w:sz w:val="16"/>
        </w:rPr>
        <w:t>Zn</w:t>
        <w:tab/>
      </w:r>
      <w:r>
        <w:rPr>
          <w:rFonts w:ascii="Arial"/>
          <w:b/>
          <w:color w:val="231F20"/>
          <w:w w:val="105"/>
          <w:position w:val="-1"/>
          <w:sz w:val="16"/>
        </w:rPr>
        <w:t>Cu</w:t>
      </w:r>
    </w:p>
    <w:p>
      <w:pPr>
        <w:tabs>
          <w:tab w:pos="3098" w:val="left" w:leader="none"/>
          <w:tab w:pos="5158" w:val="left" w:leader="none"/>
        </w:tabs>
        <w:spacing w:line="191" w:lineRule="exact" w:before="0"/>
        <w:ind w:left="1170" w:right="0" w:firstLine="0"/>
        <w:jc w:val="left"/>
        <w:rPr>
          <w:rFonts w:ascii="Arial"/>
          <w:b/>
          <w:sz w:val="16"/>
        </w:rPr>
      </w:pPr>
      <w:r>
        <w:rPr>
          <w:rFonts w:ascii="Arial"/>
          <w:color w:val="231F20"/>
          <w:w w:val="105"/>
          <w:position w:val="2"/>
          <w:sz w:val="16"/>
        </w:rPr>
        <w:t>SEDEX</w:t>
      </w:r>
      <w:r>
        <w:rPr>
          <w:rFonts w:ascii="Arial"/>
          <w:color w:val="231F20"/>
          <w:spacing w:val="-12"/>
          <w:w w:val="105"/>
          <w:position w:val="2"/>
          <w:sz w:val="16"/>
        </w:rPr>
        <w:t> </w:t>
      </w:r>
      <w:r>
        <w:rPr>
          <w:rFonts w:ascii="Arial"/>
          <w:color w:val="231F20"/>
          <w:w w:val="105"/>
          <w:position w:val="2"/>
          <w:sz w:val="16"/>
        </w:rPr>
        <w:t>deposits</w:t>
        <w:tab/>
        <w:t>VMS</w:t>
      </w:r>
      <w:r>
        <w:rPr>
          <w:rFonts w:ascii="Arial"/>
          <w:color w:val="231F20"/>
          <w:spacing w:val="-11"/>
          <w:w w:val="105"/>
          <w:position w:val="2"/>
          <w:sz w:val="16"/>
        </w:rPr>
        <w:t> </w:t>
      </w:r>
      <w:r>
        <w:rPr>
          <w:rFonts w:ascii="Arial"/>
          <w:color w:val="231F20"/>
          <w:w w:val="105"/>
          <w:position w:val="2"/>
          <w:sz w:val="16"/>
        </w:rPr>
        <w:t>deposits</w:t>
        <w:tab/>
      </w:r>
      <w:r>
        <w:rPr>
          <w:rFonts w:ascii="Arial"/>
          <w:b/>
          <w:color w:val="231F20"/>
          <w:w w:val="105"/>
          <w:sz w:val="16"/>
        </w:rPr>
        <w:t>Cu</w:t>
      </w:r>
    </w:p>
    <w:p>
      <w:pPr>
        <w:pStyle w:val="BodyText"/>
        <w:rPr>
          <w:rFonts w:ascii="Arial"/>
          <w:b/>
        </w:rPr>
      </w:pPr>
    </w:p>
    <w:p>
      <w:pPr>
        <w:pStyle w:val="BodyText"/>
        <w:rPr>
          <w:rFonts w:ascii="Arial"/>
          <w:b/>
        </w:rPr>
      </w:pPr>
    </w:p>
    <w:p>
      <w:pPr>
        <w:spacing w:before="180"/>
        <w:ind w:left="2748" w:right="4168" w:firstLine="0"/>
        <w:jc w:val="center"/>
        <w:rPr>
          <w:rFonts w:ascii="Arial"/>
          <w:b/>
          <w:sz w:val="18"/>
        </w:rPr>
      </w:pPr>
      <w:r>
        <w:rPr/>
        <w:pict>
          <v:shape style="position:absolute;margin-left:497.636475pt;margin-top:22.27379pt;width:23.75pt;height:8.25pt;mso-position-horizontal-relative:page;mso-position-vertical-relative:paragraph;z-index:1336;rotation:56" type="#_x0000_t136" fillcolor="#231f20" stroked="f">
            <o:extrusion v:ext="view" autorotationcenter="t"/>
            <v:textpath style="font-family:&amp;quot;Arial&amp;quot;;font-size:8pt;v-text-kern:t;mso-text-shadow:auto;font-weight:bold" string="Cu-Zn"/>
            <w10:wrap type="none"/>
          </v:shape>
        </w:pict>
      </w:r>
      <w:r>
        <w:rPr>
          <w:rFonts w:ascii="Arial"/>
          <w:b/>
          <w:color w:val="231F20"/>
          <w:w w:val="105"/>
          <w:sz w:val="18"/>
        </w:rPr>
        <w:t>Canadian VMS</w:t>
      </w:r>
    </w:p>
    <w:p>
      <w:pPr>
        <w:spacing w:after="0"/>
        <w:jc w:val="center"/>
        <w:rPr>
          <w:rFonts w:ascii="Arial"/>
          <w:sz w:val="18"/>
        </w:rPr>
        <w:sectPr>
          <w:type w:val="continuous"/>
          <w:pgSz w:w="12240" w:h="15840"/>
          <w:pgMar w:top="920" w:bottom="280" w:left="0" w:right="0"/>
          <w:cols w:num="2" w:equalWidth="0">
            <w:col w:w="3931" w:space="40"/>
            <w:col w:w="8269"/>
          </w:cols>
        </w:sectPr>
      </w:pPr>
    </w:p>
    <w:p>
      <w:pPr>
        <w:pStyle w:val="BodyText"/>
        <w:spacing w:line="230" w:lineRule="auto"/>
        <w:ind w:left="1100" w:right="38"/>
        <w:jc w:val="both"/>
      </w:pPr>
      <w:r>
        <w:rPr>
          <w:color w:val="231F20"/>
        </w:rPr>
        <w:t>(1987) into Noranda and Mattabi types, respectively, by including the character of their host rocks (mafic vs. felsic, effusive vs. vol- caniclastic) and characteristic</w:t>
      </w:r>
      <w:r>
        <w:rPr>
          <w:color w:val="231F20"/>
          <w:spacing w:val="-12"/>
        </w:rPr>
        <w:t> </w:t>
      </w:r>
      <w:r>
        <w:rPr>
          <w:color w:val="231F20"/>
        </w:rPr>
        <w:t>alter- ation mineral assemblages</w:t>
      </w:r>
      <w:r>
        <w:rPr>
          <w:color w:val="231F20"/>
          <w:spacing w:val="35"/>
        </w:rPr>
        <w:t> </w:t>
      </w:r>
      <w:r>
        <w:rPr>
          <w:color w:val="231F20"/>
        </w:rPr>
        <w:t>(chlo-</w:t>
      </w:r>
    </w:p>
    <w:p>
      <w:pPr>
        <w:spacing w:before="77"/>
        <w:ind w:left="0" w:right="0" w:firstLine="0"/>
        <w:jc w:val="right"/>
        <w:rPr>
          <w:rFonts w:ascii="Arial"/>
          <w:b/>
          <w:sz w:val="16"/>
        </w:rPr>
      </w:pPr>
      <w:r>
        <w:rPr/>
        <w:br w:type="column"/>
      </w:r>
      <w:r>
        <w:rPr>
          <w:rFonts w:ascii="Arial"/>
          <w:b/>
          <w:color w:val="231F20"/>
          <w:sz w:val="16"/>
        </w:rPr>
        <w:t>Zn-Pb-Cu</w:t>
      </w:r>
    </w:p>
    <w:p>
      <w:pPr>
        <w:pStyle w:val="BodyText"/>
        <w:rPr>
          <w:rFonts w:ascii="Arial"/>
          <w:b/>
          <w:sz w:val="18"/>
        </w:rPr>
      </w:pPr>
    </w:p>
    <w:p>
      <w:pPr>
        <w:pStyle w:val="BodyText"/>
        <w:spacing w:before="3"/>
        <w:rPr>
          <w:rFonts w:ascii="Arial"/>
          <w:b/>
        </w:rPr>
      </w:pPr>
    </w:p>
    <w:p>
      <w:pPr>
        <w:spacing w:before="0"/>
        <w:ind w:left="1100" w:right="0" w:firstLine="0"/>
        <w:jc w:val="left"/>
        <w:rPr>
          <w:rFonts w:ascii="Arial"/>
          <w:b/>
          <w:sz w:val="16"/>
        </w:rPr>
      </w:pPr>
      <w:r>
        <w:rPr>
          <w:rFonts w:ascii="Arial"/>
          <w:b/>
          <w:color w:val="231F20"/>
          <w:w w:val="105"/>
          <w:sz w:val="16"/>
        </w:rPr>
        <w:t>Pb-Zn</w:t>
      </w:r>
    </w:p>
    <w:p>
      <w:pPr>
        <w:pStyle w:val="BodyText"/>
        <w:rPr>
          <w:rFonts w:ascii="Arial"/>
          <w:b/>
          <w:sz w:val="18"/>
        </w:rPr>
      </w:pPr>
      <w:r>
        <w:rPr/>
        <w:br w:type="column"/>
      </w:r>
      <w:r>
        <w:rPr>
          <w:rFonts w:ascii="Arial"/>
          <w:b/>
          <w:sz w:val="18"/>
        </w:rPr>
      </w:r>
    </w:p>
    <w:p>
      <w:pPr>
        <w:pStyle w:val="BodyText"/>
        <w:rPr>
          <w:rFonts w:ascii="Arial"/>
          <w:b/>
          <w:sz w:val="18"/>
        </w:rPr>
      </w:pPr>
    </w:p>
    <w:p>
      <w:pPr>
        <w:spacing w:before="115"/>
        <w:ind w:left="803" w:right="0" w:firstLine="0"/>
        <w:jc w:val="left"/>
        <w:rPr>
          <w:rFonts w:ascii="Arial"/>
          <w:b/>
          <w:sz w:val="16"/>
        </w:rPr>
      </w:pPr>
      <w:r>
        <w:rPr>
          <w:rFonts w:ascii="Arial"/>
          <w:b/>
          <w:color w:val="231F20"/>
          <w:w w:val="105"/>
          <w:sz w:val="16"/>
        </w:rPr>
        <w:t>Zn-Cu</w:t>
      </w:r>
    </w:p>
    <w:p>
      <w:pPr>
        <w:spacing w:after="0"/>
        <w:jc w:val="left"/>
        <w:rPr>
          <w:rFonts w:ascii="Arial"/>
          <w:sz w:val="16"/>
        </w:rPr>
        <w:sectPr>
          <w:type w:val="continuous"/>
          <w:pgSz w:w="12240" w:h="15840"/>
          <w:pgMar w:top="920" w:bottom="280" w:left="0" w:right="0"/>
          <w:cols w:num="3" w:equalWidth="0">
            <w:col w:w="3967" w:space="2948"/>
            <w:col w:w="2325" w:space="40"/>
            <w:col w:w="2960"/>
          </w:cols>
        </w:sectPr>
      </w:pPr>
    </w:p>
    <w:p>
      <w:pPr>
        <w:pStyle w:val="BodyText"/>
        <w:spacing w:line="202" w:lineRule="exact"/>
        <w:ind w:left="1100"/>
      </w:pPr>
      <w:r>
        <w:rPr>
          <w:color w:val="231F20"/>
        </w:rPr>
        <w:t>rite-sericite dominated vs. sericite-</w:t>
      </w:r>
    </w:p>
    <w:p>
      <w:pPr>
        <w:pStyle w:val="BodyText"/>
        <w:spacing w:line="230" w:lineRule="auto" w:before="2"/>
        <w:ind w:left="1100"/>
        <w:jc w:val="both"/>
      </w:pPr>
      <w:r>
        <w:rPr>
          <w:color w:val="231F20"/>
        </w:rPr>
        <w:t>quartz ± carbonate-rich). The Zn- Pb-Cu category was added by Large (1992) in order to more fully represent the VMS deposits of Australia (Fig. 2). Poulsen and Hannington (1995) created a sim-</w:t>
      </w:r>
    </w:p>
    <w:p>
      <w:pPr>
        <w:tabs>
          <w:tab w:pos="6616" w:val="left" w:leader="none"/>
        </w:tabs>
        <w:spacing w:line="180" w:lineRule="exact" w:before="96"/>
        <w:ind w:left="2841" w:right="0" w:firstLine="0"/>
        <w:jc w:val="left"/>
        <w:rPr>
          <w:rFonts w:ascii="Arial"/>
          <w:b/>
          <w:sz w:val="16"/>
        </w:rPr>
      </w:pPr>
      <w:r>
        <w:rPr/>
        <w:br w:type="column"/>
      </w:r>
      <w:r>
        <w:rPr>
          <w:rFonts w:ascii="Arial"/>
          <w:b/>
          <w:color w:val="231F20"/>
          <w:w w:val="105"/>
          <w:sz w:val="16"/>
        </w:rPr>
        <w:t>Pb</w:t>
        <w:tab/>
        <w:t>Zn</w:t>
      </w:r>
    </w:p>
    <w:p>
      <w:pPr>
        <w:tabs>
          <w:tab w:pos="5697" w:val="left" w:leader="none"/>
        </w:tabs>
        <w:spacing w:line="180" w:lineRule="exact" w:before="0"/>
        <w:ind w:left="3768" w:right="0" w:firstLine="0"/>
        <w:jc w:val="left"/>
        <w:rPr>
          <w:rFonts w:ascii="Arial"/>
          <w:sz w:val="16"/>
        </w:rPr>
      </w:pPr>
      <w:r>
        <w:rPr>
          <w:rFonts w:ascii="Arial"/>
          <w:color w:val="231F20"/>
          <w:w w:val="105"/>
          <w:sz w:val="16"/>
        </w:rPr>
        <w:t>SEDEX</w:t>
      </w:r>
      <w:r>
        <w:rPr>
          <w:rFonts w:ascii="Arial"/>
          <w:color w:val="231F20"/>
          <w:spacing w:val="-13"/>
          <w:w w:val="105"/>
          <w:sz w:val="16"/>
        </w:rPr>
        <w:t> </w:t>
      </w:r>
      <w:r>
        <w:rPr>
          <w:rFonts w:ascii="Arial"/>
          <w:color w:val="231F20"/>
          <w:w w:val="105"/>
          <w:sz w:val="16"/>
        </w:rPr>
        <w:t>deposits</w:t>
        <w:tab/>
        <w:t>VMS</w:t>
      </w:r>
      <w:r>
        <w:rPr>
          <w:rFonts w:ascii="Arial"/>
          <w:color w:val="231F20"/>
          <w:spacing w:val="-3"/>
          <w:w w:val="105"/>
          <w:sz w:val="16"/>
        </w:rPr>
        <w:t> </w:t>
      </w:r>
      <w:r>
        <w:rPr>
          <w:rFonts w:ascii="Arial"/>
          <w:color w:val="231F20"/>
          <w:w w:val="105"/>
          <w:sz w:val="16"/>
        </w:rPr>
        <w:t>deposits</w:t>
      </w:r>
    </w:p>
    <w:p>
      <w:pPr>
        <w:pStyle w:val="BodyText"/>
        <w:spacing w:before="2"/>
        <w:rPr>
          <w:rFonts w:ascii="Arial"/>
          <w:sz w:val="16"/>
        </w:rPr>
      </w:pPr>
    </w:p>
    <w:p>
      <w:pPr>
        <w:spacing w:line="230" w:lineRule="auto" w:before="0"/>
        <w:ind w:left="190" w:right="1109" w:hanging="1"/>
        <w:jc w:val="both"/>
        <w:rPr>
          <w:sz w:val="16"/>
        </w:rPr>
      </w:pPr>
      <w:r>
        <w:rPr>
          <w:b/>
          <w:color w:val="231F20"/>
          <w:sz w:val="16"/>
        </w:rPr>
        <w:t>F</w:t>
      </w:r>
      <w:r>
        <w:rPr>
          <w:b/>
          <w:color w:val="231F20"/>
          <w:sz w:val="16"/>
          <w:vertAlign w:val="subscript"/>
        </w:rPr>
        <w:t>IGURE</w:t>
      </w:r>
      <w:r>
        <w:rPr>
          <w:b/>
          <w:color w:val="231F20"/>
          <w:spacing w:val="-17"/>
          <w:sz w:val="16"/>
          <w:vertAlign w:val="baseline"/>
        </w:rPr>
        <w:t> </w:t>
      </w:r>
      <w:r>
        <w:rPr>
          <w:b/>
          <w:color w:val="231F20"/>
          <w:sz w:val="16"/>
          <w:vertAlign w:val="baseline"/>
        </w:rPr>
        <w:t>2.</w:t>
      </w:r>
      <w:r>
        <w:rPr>
          <w:b/>
          <w:color w:val="231F20"/>
          <w:spacing w:val="-9"/>
          <w:sz w:val="16"/>
          <w:vertAlign w:val="baseline"/>
        </w:rPr>
        <w:t> </w:t>
      </w:r>
      <w:r>
        <w:rPr>
          <w:color w:val="231F20"/>
          <w:sz w:val="16"/>
          <w:vertAlign w:val="baseline"/>
        </w:rPr>
        <w:t>Base</w:t>
      </w:r>
      <w:r>
        <w:rPr>
          <w:color w:val="231F20"/>
          <w:spacing w:val="-9"/>
          <w:sz w:val="16"/>
          <w:vertAlign w:val="baseline"/>
        </w:rPr>
        <w:t> </w:t>
      </w:r>
      <w:r>
        <w:rPr>
          <w:color w:val="231F20"/>
          <w:sz w:val="16"/>
          <w:vertAlign w:val="baseline"/>
        </w:rPr>
        <w:t>metal</w:t>
      </w:r>
      <w:r>
        <w:rPr>
          <w:color w:val="231F20"/>
          <w:spacing w:val="-9"/>
          <w:sz w:val="16"/>
          <w:vertAlign w:val="baseline"/>
        </w:rPr>
        <w:t> </w:t>
      </w:r>
      <w:r>
        <w:rPr>
          <w:color w:val="231F20"/>
          <w:sz w:val="16"/>
          <w:vertAlign w:val="baseline"/>
        </w:rPr>
        <w:t>classification</w:t>
      </w:r>
      <w:r>
        <w:rPr>
          <w:color w:val="231F20"/>
          <w:spacing w:val="-9"/>
          <w:sz w:val="16"/>
          <w:vertAlign w:val="baseline"/>
        </w:rPr>
        <w:t> </w:t>
      </w:r>
      <w:r>
        <w:rPr>
          <w:color w:val="231F20"/>
          <w:sz w:val="16"/>
          <w:vertAlign w:val="baseline"/>
        </w:rPr>
        <w:t>scheme</w:t>
      </w:r>
      <w:r>
        <w:rPr>
          <w:color w:val="231F20"/>
          <w:spacing w:val="-9"/>
          <w:sz w:val="16"/>
          <w:vertAlign w:val="baseline"/>
        </w:rPr>
        <w:t> </w:t>
      </w:r>
      <w:r>
        <w:rPr>
          <w:color w:val="231F20"/>
          <w:sz w:val="16"/>
          <w:vertAlign w:val="baseline"/>
        </w:rPr>
        <w:t>of</w:t>
      </w:r>
      <w:r>
        <w:rPr>
          <w:color w:val="231F20"/>
          <w:spacing w:val="-9"/>
          <w:sz w:val="16"/>
          <w:vertAlign w:val="baseline"/>
        </w:rPr>
        <w:t> </w:t>
      </w:r>
      <w:r>
        <w:rPr>
          <w:color w:val="231F20"/>
          <w:sz w:val="16"/>
          <w:vertAlign w:val="baseline"/>
        </w:rPr>
        <w:t>worldwide</w:t>
      </w:r>
      <w:r>
        <w:rPr>
          <w:color w:val="231F20"/>
          <w:spacing w:val="-9"/>
          <w:sz w:val="16"/>
          <w:vertAlign w:val="baseline"/>
        </w:rPr>
        <w:t> </w:t>
      </w:r>
      <w:r>
        <w:rPr>
          <w:color w:val="231F20"/>
          <w:sz w:val="16"/>
          <w:vertAlign w:val="baseline"/>
        </w:rPr>
        <w:t>and</w:t>
      </w:r>
      <w:r>
        <w:rPr>
          <w:color w:val="231F20"/>
          <w:spacing w:val="-9"/>
          <w:sz w:val="16"/>
          <w:vertAlign w:val="baseline"/>
        </w:rPr>
        <w:t> </w:t>
      </w:r>
      <w:r>
        <w:rPr>
          <w:color w:val="231F20"/>
          <w:sz w:val="16"/>
          <w:vertAlign w:val="baseline"/>
        </w:rPr>
        <w:t>Canadian</w:t>
      </w:r>
      <w:r>
        <w:rPr>
          <w:color w:val="231F20"/>
          <w:spacing w:val="-11"/>
          <w:sz w:val="16"/>
          <w:vertAlign w:val="baseline"/>
        </w:rPr>
        <w:t> </w:t>
      </w:r>
      <w:r>
        <w:rPr>
          <w:color w:val="231F20"/>
          <w:sz w:val="16"/>
          <w:vertAlign w:val="baseline"/>
        </w:rPr>
        <w:t>VMS</w:t>
      </w:r>
      <w:r>
        <w:rPr>
          <w:color w:val="231F20"/>
          <w:spacing w:val="-9"/>
          <w:sz w:val="16"/>
          <w:vertAlign w:val="baseline"/>
        </w:rPr>
        <w:t> </w:t>
      </w:r>
      <w:r>
        <w:rPr>
          <w:color w:val="231F20"/>
          <w:sz w:val="16"/>
          <w:vertAlign w:val="baseline"/>
        </w:rPr>
        <w:t>deposits</w:t>
      </w:r>
      <w:r>
        <w:rPr>
          <w:color w:val="231F20"/>
          <w:spacing w:val="-9"/>
          <w:sz w:val="16"/>
          <w:vertAlign w:val="baseline"/>
        </w:rPr>
        <w:t> </w:t>
      </w:r>
      <w:r>
        <w:rPr>
          <w:color w:val="231F20"/>
          <w:sz w:val="16"/>
          <w:vertAlign w:val="baseline"/>
        </w:rPr>
        <w:t>as</w:t>
      </w:r>
      <w:r>
        <w:rPr>
          <w:color w:val="231F20"/>
          <w:spacing w:val="-9"/>
          <w:sz w:val="16"/>
          <w:vertAlign w:val="baseline"/>
        </w:rPr>
        <w:t> </w:t>
      </w:r>
      <w:r>
        <w:rPr>
          <w:color w:val="231F20"/>
          <w:sz w:val="16"/>
          <w:vertAlign w:val="baseline"/>
        </w:rPr>
        <w:t>defined</w:t>
      </w:r>
      <w:r>
        <w:rPr>
          <w:color w:val="231F20"/>
          <w:spacing w:val="-9"/>
          <w:sz w:val="16"/>
          <w:vertAlign w:val="baseline"/>
        </w:rPr>
        <w:t> </w:t>
      </w:r>
      <w:r>
        <w:rPr>
          <w:color w:val="231F20"/>
          <w:sz w:val="16"/>
          <w:vertAlign w:val="baseline"/>
        </w:rPr>
        <w:t>by</w:t>
      </w:r>
      <w:r>
        <w:rPr>
          <w:color w:val="231F20"/>
          <w:spacing w:val="-9"/>
          <w:sz w:val="16"/>
          <w:vertAlign w:val="baseline"/>
        </w:rPr>
        <w:t> </w:t>
      </w:r>
      <w:r>
        <w:rPr>
          <w:color w:val="231F20"/>
          <w:sz w:val="16"/>
          <w:vertAlign w:val="baseline"/>
        </w:rPr>
        <w:t>Franklin et al. (1981) and modified by Large (1992) to include the Zn-Pb-Cu class. The preponderance of Cu-Zn and Zn-Cu VMS deposits in Canada is due to the abundance of Precambrian primitive oceanic arc settings. Worldwide, there is a larger proportion of felsic-hosted, more Pb-rich continental rift and continent margin arc</w:t>
      </w:r>
      <w:r>
        <w:rPr>
          <w:color w:val="231F20"/>
          <w:spacing w:val="2"/>
          <w:sz w:val="16"/>
          <w:vertAlign w:val="baseline"/>
        </w:rPr>
        <w:t> </w:t>
      </w:r>
      <w:r>
        <w:rPr>
          <w:color w:val="231F20"/>
          <w:sz w:val="16"/>
          <w:vertAlign w:val="baseline"/>
        </w:rPr>
        <w:t>settings.</w:t>
      </w:r>
    </w:p>
    <w:p>
      <w:pPr>
        <w:spacing w:after="0" w:line="230" w:lineRule="auto"/>
        <w:jc w:val="both"/>
        <w:rPr>
          <w:sz w:val="16"/>
        </w:rPr>
        <w:sectPr>
          <w:type w:val="continuous"/>
          <w:pgSz w:w="12240" w:h="15840"/>
          <w:pgMar w:top="920" w:bottom="280" w:left="0" w:right="0"/>
          <w:cols w:num="2" w:equalWidth="0">
            <w:col w:w="3930" w:space="40"/>
            <w:col w:w="8270"/>
          </w:cols>
        </w:sectPr>
      </w:pPr>
    </w:p>
    <w:p>
      <w:pPr>
        <w:pStyle w:val="BodyText"/>
        <w:spacing w:line="230" w:lineRule="auto" w:before="199"/>
        <w:ind w:left="1115" w:right="38"/>
        <w:jc w:val="both"/>
      </w:pPr>
      <w:r>
        <w:rPr>
          <w:color w:val="231F20"/>
        </w:rPr>
        <w:t>ple bimodal definition of “normal” versus “Au-rich” VMS deposits (Fig. 3). This originally was intended to identify deposits that are transitional between VMS and epithermal deposits (e.g. Sillitoe et al., 1996) (Fig. 4). Further research has indicated a more complex spectrum of conditions for</w:t>
      </w:r>
      <w:r>
        <w:rPr>
          <w:color w:val="231F20"/>
          <w:spacing w:val="-19"/>
        </w:rPr>
        <w:t> </w:t>
      </w:r>
      <w:r>
        <w:rPr>
          <w:color w:val="231F20"/>
        </w:rPr>
        <w:t>the generation</w:t>
      </w:r>
      <w:r>
        <w:rPr>
          <w:color w:val="231F20"/>
          <w:spacing w:val="-4"/>
        </w:rPr>
        <w:t> </w:t>
      </w:r>
      <w:r>
        <w:rPr>
          <w:color w:val="231F20"/>
        </w:rPr>
        <w:t>of</w:t>
      </w:r>
      <w:r>
        <w:rPr>
          <w:color w:val="231F20"/>
          <w:spacing w:val="-14"/>
        </w:rPr>
        <w:t> </w:t>
      </w:r>
      <w:r>
        <w:rPr>
          <w:color w:val="231F20"/>
        </w:rPr>
        <w:t>Au-rich</w:t>
      </w:r>
      <w:r>
        <w:rPr>
          <w:color w:val="231F20"/>
          <w:spacing w:val="-7"/>
        </w:rPr>
        <w:t> </w:t>
      </w:r>
      <w:r>
        <w:rPr>
          <w:color w:val="231F20"/>
        </w:rPr>
        <w:t>VMS</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water</w:t>
      </w:r>
      <w:r>
        <w:rPr>
          <w:color w:val="231F20"/>
          <w:spacing w:val="-4"/>
        </w:rPr>
        <w:t> </w:t>
      </w:r>
      <w:r>
        <w:rPr>
          <w:color w:val="231F20"/>
        </w:rPr>
        <w:t>depth,</w:t>
      </w:r>
      <w:r>
        <w:rPr>
          <w:color w:val="231F20"/>
          <w:spacing w:val="-4"/>
        </w:rPr>
        <w:t> </w:t>
      </w:r>
      <w:r>
        <w:rPr>
          <w:color w:val="231F20"/>
        </w:rPr>
        <w:t>oxidation state, the temperature of the metal-depositing fluids, and possible magmatic contributions (e.g. Hannington et al., 1999a). In the classification of Poulsen and Hannington (1995)</w:t>
      </w:r>
      <w:r>
        <w:rPr>
          <w:color w:val="231F20"/>
          <w:spacing w:val="-16"/>
        </w:rPr>
        <w:t> </w:t>
      </w:r>
      <w:r>
        <w:rPr>
          <w:color w:val="231F20"/>
        </w:rPr>
        <w:t>Au-rich</w:t>
      </w:r>
      <w:r>
        <w:rPr>
          <w:color w:val="231F20"/>
          <w:spacing w:val="-9"/>
        </w:rPr>
        <w:t> </w:t>
      </w:r>
      <w:r>
        <w:rPr>
          <w:color w:val="231F20"/>
        </w:rPr>
        <w:t>VMS</w:t>
      </w:r>
      <w:r>
        <w:rPr>
          <w:color w:val="231F20"/>
          <w:spacing w:val="-5"/>
        </w:rPr>
        <w:t> </w:t>
      </w:r>
      <w:r>
        <w:rPr>
          <w:color w:val="231F20"/>
        </w:rPr>
        <w:t>deposits</w:t>
      </w:r>
      <w:r>
        <w:rPr>
          <w:color w:val="231F20"/>
          <w:spacing w:val="-5"/>
        </w:rPr>
        <w:t> </w:t>
      </w:r>
      <w:r>
        <w:rPr>
          <w:color w:val="231F20"/>
        </w:rPr>
        <w:t>are</w:t>
      </w:r>
      <w:r>
        <w:rPr>
          <w:color w:val="231F20"/>
          <w:spacing w:val="-5"/>
        </w:rPr>
        <w:t> </w:t>
      </w:r>
      <w:r>
        <w:rPr>
          <w:color w:val="231F20"/>
        </w:rPr>
        <w:t>arbitrarily</w:t>
      </w:r>
      <w:r>
        <w:rPr>
          <w:color w:val="231F20"/>
          <w:spacing w:val="-5"/>
        </w:rPr>
        <w:t> </w:t>
      </w:r>
      <w:r>
        <w:rPr>
          <w:color w:val="231F20"/>
        </w:rPr>
        <w:t>defined</w:t>
      </w:r>
      <w:r>
        <w:rPr>
          <w:color w:val="231F20"/>
          <w:spacing w:val="-5"/>
        </w:rPr>
        <w:t> </w:t>
      </w:r>
      <w:r>
        <w:rPr>
          <w:color w:val="231F20"/>
        </w:rPr>
        <w:t>as</w:t>
      </w:r>
      <w:r>
        <w:rPr>
          <w:color w:val="231F20"/>
          <w:spacing w:val="-5"/>
        </w:rPr>
        <w:t> </w:t>
      </w:r>
      <w:r>
        <w:rPr>
          <w:color w:val="231F20"/>
        </w:rPr>
        <w:t>those in which the abundance of Au in ppm is numerically greater than the combined base metals (Zn+Cu+Pb in wt.%, Fig. 3). A third classification system that is gaining acceptance is a five-fold grouping first suggested by Barrie and Hannington (1999),</w:t>
      </w:r>
      <w:r>
        <w:rPr>
          <w:color w:val="231F20"/>
          <w:spacing w:val="28"/>
        </w:rPr>
        <w:t> </w:t>
      </w:r>
      <w:r>
        <w:rPr>
          <w:color w:val="231F20"/>
        </w:rPr>
        <w:t>and</w:t>
      </w:r>
      <w:r>
        <w:rPr>
          <w:color w:val="231F20"/>
          <w:spacing w:val="28"/>
        </w:rPr>
        <w:t> </w:t>
      </w:r>
      <w:r>
        <w:rPr>
          <w:color w:val="231F20"/>
        </w:rPr>
        <w:t>later</w:t>
      </w:r>
      <w:r>
        <w:rPr>
          <w:color w:val="231F20"/>
          <w:spacing w:val="28"/>
        </w:rPr>
        <w:t> </w:t>
      </w:r>
      <w:r>
        <w:rPr>
          <w:color w:val="231F20"/>
        </w:rPr>
        <w:t>modified</w:t>
      </w:r>
      <w:r>
        <w:rPr>
          <w:color w:val="231F20"/>
          <w:spacing w:val="28"/>
        </w:rPr>
        <w:t> </w:t>
      </w:r>
      <w:r>
        <w:rPr>
          <w:color w:val="231F20"/>
        </w:rPr>
        <w:t>by</w:t>
      </w:r>
      <w:r>
        <w:rPr>
          <w:color w:val="231F20"/>
          <w:spacing w:val="28"/>
        </w:rPr>
        <w:t> </w:t>
      </w:r>
      <w:r>
        <w:rPr>
          <w:color w:val="231F20"/>
        </w:rPr>
        <w:t>Franklin</w:t>
      </w:r>
      <w:r>
        <w:rPr>
          <w:color w:val="231F20"/>
          <w:spacing w:val="28"/>
        </w:rPr>
        <w:t> </w:t>
      </w:r>
      <w:r>
        <w:rPr>
          <w:color w:val="231F20"/>
        </w:rPr>
        <w:t>et</w:t>
      </w:r>
      <w:r>
        <w:rPr>
          <w:color w:val="231F20"/>
          <w:spacing w:val="28"/>
        </w:rPr>
        <w:t> </w:t>
      </w:r>
      <w:r>
        <w:rPr>
          <w:color w:val="231F20"/>
        </w:rPr>
        <w:t>al.</w:t>
      </w:r>
      <w:r>
        <w:rPr>
          <w:color w:val="231F20"/>
          <w:spacing w:val="28"/>
        </w:rPr>
        <w:t> </w:t>
      </w:r>
      <w:r>
        <w:rPr>
          <w:color w:val="231F20"/>
        </w:rPr>
        <w:t>(2005).</w:t>
      </w:r>
      <w:r>
        <w:rPr>
          <w:color w:val="231F20"/>
          <w:spacing w:val="25"/>
        </w:rPr>
        <w:t> </w:t>
      </w:r>
      <w:r>
        <w:rPr>
          <w:color w:val="231F20"/>
        </w:rPr>
        <w:t>This</w:t>
      </w:r>
    </w:p>
    <w:p>
      <w:pPr>
        <w:pStyle w:val="BodyText"/>
        <w:rPr>
          <w:sz w:val="17"/>
        </w:rPr>
      </w:pPr>
      <w:r>
        <w:rPr/>
        <w:br w:type="column"/>
      </w:r>
      <w:r>
        <w:rPr>
          <w:sz w:val="17"/>
        </w:rPr>
      </w:r>
    </w:p>
    <w:p>
      <w:pPr>
        <w:spacing w:before="0"/>
        <w:ind w:left="0" w:right="0" w:firstLine="0"/>
        <w:jc w:val="right"/>
        <w:rPr>
          <w:rFonts w:ascii="Arial"/>
          <w:sz w:val="14"/>
        </w:rPr>
      </w:pPr>
      <w:r>
        <w:rPr>
          <w:rFonts w:ascii="Arial"/>
          <w:color w:val="231F20"/>
          <w:sz w:val="14"/>
        </w:rPr>
        <w:t>Gold (ppm)</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14"/>
        </w:rPr>
      </w:pPr>
    </w:p>
    <w:p>
      <w:pPr>
        <w:spacing w:before="0"/>
        <w:ind w:left="1115" w:right="0" w:firstLine="0"/>
        <w:jc w:val="left"/>
        <w:rPr>
          <w:rFonts w:ascii="Arial"/>
          <w:b/>
          <w:sz w:val="14"/>
        </w:rPr>
      </w:pPr>
      <w:r>
        <w:rPr/>
        <w:pict>
          <v:group style="position:absolute;margin-left:317.59201pt;margin-top:-62.47879pt;width:241.75pt;height:163.75pt;mso-position-horizontal-relative:page;mso-position-vertical-relative:paragraph;z-index:-181936" coordorigin="6352,-1250" coordsize="4835,3275">
            <v:shape style="position:absolute;left:6358;top:-1249;width:3702;height:3222" coordorigin="6359,-1248" coordsize="3702,3222" path="m6359,1965l8223,-1248,10060,1974,6359,1965xe" filled="false" stroked="true" strokeweight=".153pt" strokecolor="#231f20">
              <v:path arrowok="t"/>
              <v:stroke dashstyle="solid"/>
            </v:shape>
            <v:line style="position:absolute" from="10066,1968" to="6352,1968" stroked="true" strokeweight=".153pt" strokecolor="#231f20">
              <v:stroke dashstyle="solid"/>
            </v:line>
            <v:shape style="position:absolute;left:7180;top:262;width:4007;height:1763" type="#_x0000_t75" stroked="false">
              <v:imagedata r:id="rId26" o:title=""/>
            </v:shape>
            <v:shape style="position:absolute;left:6986;top:1710;width:31;height:31" coordorigin="6986,1711" coordsize="31,31" path="m7001,1741l6999,1741,6997,1740,6996,1740,6994,1739,6992,1738,6991,1736,6989,1735,6988,1733,6987,1731,6987,1730,6986,1728,6986,1726,6986,1723,6987,1720,6988,1718,6990,1716,6992,1714,6994,1713,6996,1711,6999,1711,7001,1711,7003,1711,7004,1711,7005,1711,7006,1711,7014,1718,7016,1720,7016,1723,7016,1726,7016,1727,7016,1728,7016,1730,7016,1731,7015,1732,7014,1733,7013,1735,7003,1741,7001,1741xe" filled="false" stroked="true" strokeweight=".153pt" strokecolor="#231f20">
              <v:path arrowok="t"/>
              <v:stroke dashstyle="solid"/>
            </v:shape>
            <v:shape style="position:absolute;left:6621;top:1916;width:31;height:31" coordorigin="6622,1916" coordsize="31,31" path="m6637,1946l6635,1946,6633,1946,6631,1945,6629,1945,6628,1944,6626,1942,6625,1941,6624,1939,6623,1937,6622,1935,6622,1933,6622,1931,6622,1929,6623,1926,6624,1924,6625,1922,6627,1920,6629,1918,6632,1917,6634,1916,6637,1916,6638,1916,6644,1918,6647,1920,6648,1921,6650,1924,6651,1926,6652,1929,6652,1931,6652,1933,6650,1939,6649,1941,6638,1946,6637,1946xe" filled="false" stroked="true" strokeweight=".153pt" strokecolor="#231f20">
              <v:path arrowok="t"/>
              <v:stroke dashstyle="solid"/>
            </v:shape>
            <w10:wrap type="none"/>
          </v:group>
        </w:pict>
      </w:r>
      <w:r>
        <w:rPr>
          <w:rFonts w:ascii="Arial"/>
          <w:b/>
          <w:color w:val="231F20"/>
          <w:sz w:val="14"/>
        </w:rPr>
        <w:t>AURIFEROUS</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3"/>
        <w:rPr>
          <w:rFonts w:ascii="Arial"/>
          <w:b/>
          <w:sz w:val="18"/>
        </w:rPr>
      </w:pPr>
    </w:p>
    <w:p>
      <w:pPr>
        <w:spacing w:line="300" w:lineRule="atLeast" w:before="1"/>
        <w:ind w:left="682" w:right="1642" w:hanging="122"/>
        <w:jc w:val="left"/>
        <w:rPr>
          <w:rFonts w:ascii="Arial"/>
          <w:sz w:val="14"/>
        </w:rPr>
      </w:pPr>
      <w:r>
        <w:rPr>
          <w:rFonts w:ascii="Arial"/>
          <w:b/>
          <w:color w:val="231F20"/>
          <w:sz w:val="14"/>
        </w:rPr>
        <w:t>MT MORGAN </w:t>
      </w:r>
      <w:r>
        <w:rPr>
          <w:rFonts w:ascii="Arial"/>
          <w:color w:val="231F20"/>
          <w:sz w:val="14"/>
        </w:rPr>
        <w:t>BOUSQUET NO 2</w:t>
      </w:r>
    </w:p>
    <w:p>
      <w:pPr>
        <w:spacing w:before="90"/>
        <w:ind w:left="830" w:right="0" w:firstLine="0"/>
        <w:jc w:val="left"/>
        <w:rPr>
          <w:rFonts w:ascii="Arial"/>
          <w:b/>
          <w:sz w:val="14"/>
        </w:rPr>
      </w:pPr>
      <w:r>
        <w:rPr>
          <w:rFonts w:ascii="Arial"/>
          <w:b/>
          <w:color w:val="231F20"/>
          <w:sz w:val="14"/>
        </w:rPr>
        <w:t>HORNE</w:t>
      </w:r>
    </w:p>
    <w:p>
      <w:pPr>
        <w:spacing w:line="400" w:lineRule="auto" w:before="128"/>
        <w:ind w:left="1240" w:right="1115" w:hanging="135"/>
        <w:jc w:val="left"/>
        <w:rPr>
          <w:rFonts w:ascii="Arial"/>
          <w:sz w:val="14"/>
        </w:rPr>
      </w:pPr>
      <w:r>
        <w:rPr>
          <w:rFonts w:ascii="Arial"/>
          <w:b/>
          <w:color w:val="231F20"/>
          <w:sz w:val="14"/>
        </w:rPr>
        <w:t>BOLIDEN </w:t>
      </w:r>
      <w:r>
        <w:rPr>
          <w:rFonts w:ascii="Arial"/>
          <w:color w:val="231F20"/>
          <w:sz w:val="14"/>
        </w:rPr>
        <w:t>RAMBLER CONS</w:t>
      </w:r>
    </w:p>
    <w:p>
      <w:pPr>
        <w:spacing w:line="129" w:lineRule="exact" w:before="0"/>
        <w:ind w:left="1296" w:right="1427" w:firstLine="0"/>
        <w:jc w:val="center"/>
        <w:rPr>
          <w:rFonts w:ascii="Arial"/>
          <w:b/>
          <w:sz w:val="14"/>
        </w:rPr>
      </w:pPr>
      <w:r>
        <w:rPr>
          <w:rFonts w:ascii="Arial"/>
          <w:b/>
          <w:color w:val="231F20"/>
          <w:sz w:val="14"/>
        </w:rPr>
        <w:t>LA RONDE</w:t>
      </w:r>
    </w:p>
    <w:p>
      <w:pPr>
        <w:spacing w:line="96" w:lineRule="exact" w:before="52"/>
        <w:ind w:left="1455" w:right="0" w:firstLine="0"/>
        <w:jc w:val="left"/>
        <w:rPr>
          <w:rFonts w:ascii="Arial"/>
          <w:sz w:val="14"/>
        </w:rPr>
      </w:pPr>
      <w:r>
        <w:rPr>
          <w:rFonts w:ascii="Arial"/>
          <w:color w:val="231F20"/>
          <w:sz w:val="14"/>
        </w:rPr>
        <w:t>ESKAY CREEK</w:t>
      </w:r>
    </w:p>
    <w:p>
      <w:pPr>
        <w:spacing w:after="0" w:line="96" w:lineRule="exact"/>
        <w:jc w:val="left"/>
        <w:rPr>
          <w:rFonts w:ascii="Arial"/>
          <w:sz w:val="14"/>
        </w:rPr>
        <w:sectPr>
          <w:pgSz w:w="12240" w:h="15840"/>
          <w:pgMar w:header="673" w:footer="779" w:top="1000" w:bottom="960" w:left="0" w:right="0"/>
          <w:cols w:num="3" w:equalWidth="0">
            <w:col w:w="5998" w:space="543"/>
            <w:col w:w="2164" w:space="39"/>
            <w:col w:w="3496"/>
          </w:cols>
        </w:sectPr>
      </w:pPr>
    </w:p>
    <w:p>
      <w:pPr>
        <w:pStyle w:val="BodyText"/>
        <w:spacing w:line="230" w:lineRule="auto"/>
        <w:ind w:left="1115"/>
      </w:pPr>
      <w:r>
        <w:rPr>
          <w:color w:val="231F20"/>
        </w:rPr>
        <w:t>system classifies VMS deposits by their host lithologies (Fig. 4), which includes all strata within a host succession</w:t>
      </w:r>
    </w:p>
    <w:p>
      <w:pPr>
        <w:spacing w:before="113"/>
        <w:ind w:left="329" w:right="0" w:firstLine="0"/>
        <w:jc w:val="left"/>
        <w:rPr>
          <w:rFonts w:ascii="Arial"/>
          <w:sz w:val="14"/>
        </w:rPr>
      </w:pPr>
      <w:r>
        <w:rPr/>
        <w:br w:type="column"/>
      </w:r>
      <w:r>
        <w:rPr>
          <w:rFonts w:ascii="Arial"/>
          <w:color w:val="231F20"/>
          <w:sz w:val="14"/>
        </w:rPr>
        <w:t>Cu+Zn+Pb (%)</w:t>
      </w:r>
    </w:p>
    <w:p>
      <w:pPr>
        <w:spacing w:before="103"/>
        <w:ind w:left="1115" w:right="0" w:firstLine="0"/>
        <w:jc w:val="left"/>
        <w:rPr>
          <w:rFonts w:ascii="Arial"/>
          <w:sz w:val="14"/>
        </w:rPr>
      </w:pPr>
      <w:r>
        <w:rPr/>
        <w:br w:type="column"/>
      </w:r>
      <w:r>
        <w:rPr>
          <w:rFonts w:ascii="Arial"/>
          <w:color w:val="231F20"/>
          <w:position w:val="1"/>
          <w:sz w:val="14"/>
          <w:u w:val="single" w:color="231F20"/>
        </w:rPr>
        <w:t>FLIN FLON</w:t>
      </w:r>
      <w:r>
        <w:rPr>
          <w:rFonts w:ascii="Arial"/>
          <w:color w:val="231F20"/>
          <w:position w:val="1"/>
          <w:sz w:val="14"/>
        </w:rPr>
        <w:t> </w:t>
      </w:r>
      <w:r>
        <w:rPr>
          <w:rFonts w:ascii="Arial"/>
          <w:color w:val="231F20"/>
          <w:sz w:val="14"/>
        </w:rPr>
        <w:t>Silver (ppm)</w:t>
      </w:r>
    </w:p>
    <w:p>
      <w:pPr>
        <w:spacing w:after="0"/>
        <w:jc w:val="left"/>
        <w:rPr>
          <w:rFonts w:ascii="Arial"/>
          <w:sz w:val="14"/>
        </w:rPr>
        <w:sectPr>
          <w:type w:val="continuous"/>
          <w:pgSz w:w="12240" w:h="15840"/>
          <w:pgMar w:top="920" w:bottom="280" w:left="0" w:right="0"/>
          <w:cols w:num="3" w:equalWidth="0">
            <w:col w:w="5956" w:space="40"/>
            <w:col w:w="1315" w:space="487"/>
            <w:col w:w="4442"/>
          </w:cols>
        </w:sectPr>
      </w:pPr>
    </w:p>
    <w:p>
      <w:pPr>
        <w:pStyle w:val="BodyText"/>
        <w:spacing w:line="204" w:lineRule="exact"/>
        <w:ind w:left="1115"/>
      </w:pPr>
      <w:r>
        <w:rPr>
          <w:color w:val="231F20"/>
        </w:rPr>
        <w:t>defining a distinctive time-stratigraphic event (Franklin et</w:t>
      </w:r>
    </w:p>
    <w:p>
      <w:pPr>
        <w:pStyle w:val="BodyText"/>
        <w:spacing w:line="230" w:lineRule="auto" w:before="2"/>
        <w:ind w:left="1115" w:right="1"/>
        <w:jc w:val="both"/>
      </w:pPr>
      <w:r>
        <w:rPr>
          <w:color w:val="231F20"/>
        </w:rPr>
        <w:t>al., 2005). These five different groups are bimodal-mafic, mafic-backarc, pelitic-mafic, bimodal-felsic, and felsic-sili- ciclastic. To this is added a sixth group of hybrid bimodal felsic, which represent a cross between VMS and shallow- water epithermal mineralization (Fig. 4). These lithologic groupings generally correlate with different submarine tec- tonic settings. There order here reflects a change from the most primitive VMS environments, represented by ophiolite settings, through oceanic rifted arc, evolved rifted arcs, con- tinental back-arc to sedimented back-arc.</w:t>
      </w:r>
    </w:p>
    <w:p>
      <w:pPr>
        <w:pStyle w:val="Heading1"/>
        <w:spacing w:before="150"/>
        <w:ind w:left="2407"/>
      </w:pPr>
      <w:r>
        <w:rPr>
          <w:color w:val="231F20"/>
        </w:rPr>
        <w:t>Geographical Distribution</w:t>
      </w:r>
    </w:p>
    <w:p>
      <w:pPr>
        <w:pStyle w:val="BodyText"/>
        <w:spacing w:line="230" w:lineRule="auto" w:before="70"/>
        <w:ind w:left="1115" w:firstLine="216"/>
        <w:jc w:val="both"/>
      </w:pPr>
      <w:r>
        <w:rPr>
          <w:color w:val="231F20"/>
        </w:rPr>
        <w:t>There are close to 850 known VMS deposits worldwide with geological reserves of over 200,000 t. They are located in submarine volcanic terranes that range in age from the</w:t>
      </w:r>
      <w:r>
        <w:rPr>
          <w:color w:val="231F20"/>
          <w:spacing w:val="-35"/>
        </w:rPr>
        <w:t> </w:t>
      </w:r>
      <w:r>
        <w:rPr>
          <w:color w:val="231F20"/>
        </w:rPr>
        <w:t>3.4 Ga Archean Pilbara Block, Australia, to actively forming deposits in modern seafloor spreading and oceanic arc ter- ranes (Fig. 5, </w:t>
      </w:r>
      <w:r>
        <w:rPr>
          <w:color w:val="231F20"/>
          <w:spacing w:val="-3"/>
        </w:rPr>
        <w:t>Table </w:t>
      </w:r>
      <w:r>
        <w:rPr>
          <w:color w:val="231F20"/>
        </w:rPr>
        <w:t>1). VMS-epithermal hybrids are also forming today in volcanically active shallow submarine (Manus Basin) and lacustrine environments. VMS deposits are recognized on every major continent except Antarctica, although Zn-Pb-Cu deposits are forming in the Bransfield Strait adjacent to the Antarctic Peninsula (Peterson et al., 2004). Cu and Au have been produced from Tertiary-age </w:t>
      </w:r>
      <w:r>
        <w:rPr>
          <w:color w:val="231F20"/>
          <w:spacing w:val="1"/>
        </w:rPr>
        <w:t>deposits hosted </w:t>
      </w:r>
      <w:r>
        <w:rPr>
          <w:color w:val="231F20"/>
        </w:rPr>
        <w:t>in </w:t>
      </w:r>
      <w:r>
        <w:rPr>
          <w:color w:val="231F20"/>
          <w:spacing w:val="1"/>
        </w:rPr>
        <w:t>ophiolites around </w:t>
      </w:r>
      <w:r>
        <w:rPr>
          <w:color w:val="231F20"/>
        </w:rPr>
        <w:t>the </w:t>
      </w:r>
      <w:r>
        <w:rPr>
          <w:color w:val="231F20"/>
          <w:spacing w:val="2"/>
        </w:rPr>
        <w:t>eastern </w:t>
      </w:r>
      <w:r>
        <w:rPr>
          <w:color w:val="231F20"/>
        </w:rPr>
        <w:t>Mediterranean</w:t>
      </w:r>
      <w:r>
        <w:rPr>
          <w:color w:val="231F20"/>
          <w:spacing w:val="-6"/>
        </w:rPr>
        <w:t> </w:t>
      </w:r>
      <w:r>
        <w:rPr>
          <w:color w:val="231F20"/>
        </w:rPr>
        <w:t>and</w:t>
      </w:r>
      <w:r>
        <w:rPr>
          <w:color w:val="231F20"/>
          <w:spacing w:val="-6"/>
        </w:rPr>
        <w:t> </w:t>
      </w:r>
      <w:r>
        <w:rPr>
          <w:color w:val="231F20"/>
        </w:rPr>
        <w:t>Oman</w:t>
      </w:r>
      <w:r>
        <w:rPr>
          <w:color w:val="231F20"/>
          <w:spacing w:val="-6"/>
        </w:rPr>
        <w:t> </w:t>
      </w:r>
      <w:r>
        <w:rPr>
          <w:color w:val="231F20"/>
        </w:rPr>
        <w:t>for</w:t>
      </w:r>
      <w:r>
        <w:rPr>
          <w:color w:val="231F20"/>
          <w:spacing w:val="-6"/>
        </w:rPr>
        <w:t> </w:t>
      </w:r>
      <w:r>
        <w:rPr>
          <w:color w:val="231F20"/>
        </w:rPr>
        <w:t>over</w:t>
      </w:r>
      <w:r>
        <w:rPr>
          <w:color w:val="231F20"/>
          <w:spacing w:val="-6"/>
        </w:rPr>
        <w:t> </w:t>
      </w:r>
      <w:r>
        <w:rPr>
          <w:color w:val="231F20"/>
        </w:rPr>
        <w:t>5000</w:t>
      </w:r>
      <w:r>
        <w:rPr>
          <w:color w:val="231F20"/>
          <w:spacing w:val="-6"/>
        </w:rPr>
        <w:t> </w:t>
      </w:r>
      <w:r>
        <w:rPr>
          <w:color w:val="231F20"/>
        </w:rPr>
        <w:t>years.</w:t>
      </w:r>
      <w:r>
        <w:rPr>
          <w:color w:val="231F20"/>
          <w:spacing w:val="-6"/>
        </w:rPr>
        <w:t> </w:t>
      </w:r>
      <w:r>
        <w:rPr>
          <w:color w:val="231F20"/>
        </w:rPr>
        <w:t>Prior</w:t>
      </w:r>
      <w:r>
        <w:rPr>
          <w:color w:val="231F20"/>
          <w:spacing w:val="-6"/>
        </w:rPr>
        <w:t> </w:t>
      </w:r>
      <w:r>
        <w:rPr>
          <w:color w:val="231F20"/>
        </w:rPr>
        <w:t>to</w:t>
      </w:r>
      <w:r>
        <w:rPr>
          <w:color w:val="231F20"/>
          <w:spacing w:val="-6"/>
        </w:rPr>
        <w:t> </w:t>
      </w:r>
      <w:r>
        <w:rPr>
          <w:color w:val="231F20"/>
        </w:rPr>
        <w:t>2002, VMS deposits are estimated to have supplied over 5 billion tonnes of sulphide ore (Franklin and Hannington, 2002). This includes at least 22% of the </w:t>
      </w:r>
      <w:r>
        <w:rPr>
          <w:color w:val="231F20"/>
          <w:spacing w:val="-3"/>
        </w:rPr>
        <w:t>world’s </w:t>
      </w:r>
      <w:r>
        <w:rPr>
          <w:color w:val="231F20"/>
        </w:rPr>
        <w:t>Zn production, 6% of the </w:t>
      </w:r>
      <w:r>
        <w:rPr>
          <w:color w:val="231F20"/>
          <w:spacing w:val="-3"/>
        </w:rPr>
        <w:t>world’s </w:t>
      </w:r>
      <w:r>
        <w:rPr>
          <w:color w:val="231F20"/>
        </w:rPr>
        <w:t>Cu, 9.7% of the </w:t>
      </w:r>
      <w:r>
        <w:rPr>
          <w:color w:val="231F20"/>
          <w:spacing w:val="-3"/>
        </w:rPr>
        <w:t>world’s </w:t>
      </w:r>
      <w:r>
        <w:rPr>
          <w:color w:val="231F20"/>
        </w:rPr>
        <w:t>Pb, 8.7% of its Ag, and 2.2% of its Au (Singer,</w:t>
      </w:r>
      <w:r>
        <w:rPr>
          <w:color w:val="231F20"/>
          <w:spacing w:val="15"/>
        </w:rPr>
        <w:t> </w:t>
      </w:r>
      <w:r>
        <w:rPr>
          <w:color w:val="231F20"/>
        </w:rPr>
        <w:t>1995).</w:t>
      </w:r>
    </w:p>
    <w:p>
      <w:pPr>
        <w:pStyle w:val="BodyText"/>
        <w:spacing w:line="230" w:lineRule="auto" w:before="21"/>
        <w:ind w:left="1115" w:right="1" w:firstLine="216"/>
        <w:jc w:val="both"/>
      </w:pPr>
      <w:r>
        <w:rPr>
          <w:color w:val="231F20"/>
        </w:rPr>
        <w:t>Over 350 deposits and major VMS occurrences contain- ing geological reserves of more than 200,000 tonnes are known in Canada, of which only 13 are producing mines as of 2006 (Fig. 6, Table 2). Of these, Louvicourt, Bouchard- Hébert, Selbaie, and Konuto have been closed. VMS deposits are known to occur in every province and territory except Alberta and Prince Edward Island. The largest num- ber of deposits is in Quebec (33%), followed in descending order by Manitoba (15%), Newfoundland (12%), British Columbia (10%), Ontario (9%), and New Brunswick (9%). The deposits in New Brunswick have had the highest aggre-</w:t>
      </w:r>
    </w:p>
    <w:p>
      <w:pPr>
        <w:spacing w:line="149" w:lineRule="exact" w:before="0"/>
        <w:ind w:left="319"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3. </w:t>
      </w:r>
      <w:r>
        <w:rPr>
          <w:color w:val="231F20"/>
          <w:sz w:val="16"/>
          <w:vertAlign w:val="baseline"/>
        </w:rPr>
        <w:t>Classification of VMS deposits based on their relative base metal</w:t>
      </w:r>
    </w:p>
    <w:p>
      <w:pPr>
        <w:spacing w:line="230" w:lineRule="auto" w:before="2"/>
        <w:ind w:left="319" w:right="1096" w:firstLine="0"/>
        <w:jc w:val="both"/>
        <w:rPr>
          <w:sz w:val="16"/>
        </w:rPr>
      </w:pPr>
      <w:r>
        <w:rPr/>
        <w:pict>
          <v:rect style="position:absolute;margin-left:315pt;margin-top:-8.076923pt;width:243pt;height:62.64pt;mso-position-horizontal-relative:page;mso-position-vertical-relative:paragraph;z-index:-181912" filled="true" fillcolor="#ffffff" stroked="false">
            <v:fill type="solid"/>
            <w10:wrap type="none"/>
          </v:rect>
        </w:pict>
      </w:r>
      <w:r>
        <w:rPr>
          <w:color w:val="231F20"/>
          <w:sz w:val="16"/>
        </w:rPr>
        <w:t>(Cu+Zn+Pb) versus precious metal (Au, Ag) contents. Some of Canada’s better</w:t>
      </w:r>
      <w:r>
        <w:rPr>
          <w:color w:val="231F20"/>
          <w:spacing w:val="-5"/>
          <w:sz w:val="16"/>
        </w:rPr>
        <w:t> </w:t>
      </w:r>
      <w:r>
        <w:rPr>
          <w:color w:val="231F20"/>
          <w:sz w:val="16"/>
        </w:rPr>
        <w:t>known</w:t>
      </w:r>
      <w:r>
        <w:rPr>
          <w:color w:val="231F20"/>
          <w:spacing w:val="-5"/>
          <w:sz w:val="16"/>
        </w:rPr>
        <w:t> </w:t>
      </w:r>
      <w:r>
        <w:rPr>
          <w:color w:val="231F20"/>
          <w:sz w:val="16"/>
        </w:rPr>
        <w:t>auriferous</w:t>
      </w:r>
      <w:r>
        <w:rPr>
          <w:color w:val="231F20"/>
          <w:spacing w:val="-5"/>
          <w:sz w:val="16"/>
        </w:rPr>
        <w:t> </w:t>
      </w:r>
      <w:r>
        <w:rPr>
          <w:color w:val="231F20"/>
          <w:sz w:val="16"/>
        </w:rPr>
        <w:t>deposits</w:t>
      </w:r>
      <w:r>
        <w:rPr>
          <w:color w:val="231F20"/>
          <w:spacing w:val="-5"/>
          <w:sz w:val="16"/>
        </w:rPr>
        <w:t> </w:t>
      </w:r>
      <w:r>
        <w:rPr>
          <w:color w:val="231F20"/>
          <w:sz w:val="16"/>
        </w:rPr>
        <w:t>(underlined)</w:t>
      </w:r>
      <w:r>
        <w:rPr>
          <w:color w:val="231F20"/>
          <w:spacing w:val="-5"/>
          <w:sz w:val="16"/>
        </w:rPr>
        <w:t> </w:t>
      </w:r>
      <w:r>
        <w:rPr>
          <w:color w:val="231F20"/>
          <w:sz w:val="16"/>
        </w:rPr>
        <w:t>are</w:t>
      </w:r>
      <w:r>
        <w:rPr>
          <w:color w:val="231F20"/>
          <w:spacing w:val="-5"/>
          <w:sz w:val="16"/>
        </w:rPr>
        <w:t> </w:t>
      </w:r>
      <w:r>
        <w:rPr>
          <w:color w:val="231F20"/>
          <w:sz w:val="16"/>
        </w:rPr>
        <w:t>compared</w:t>
      </w:r>
      <w:r>
        <w:rPr>
          <w:color w:val="231F20"/>
          <w:spacing w:val="-5"/>
          <w:sz w:val="16"/>
        </w:rPr>
        <w:t> </w:t>
      </w:r>
      <w:r>
        <w:rPr>
          <w:color w:val="231F20"/>
          <w:sz w:val="16"/>
        </w:rPr>
        <w:t>to</w:t>
      </w:r>
      <w:r>
        <w:rPr>
          <w:color w:val="231F20"/>
          <w:spacing w:val="-5"/>
          <w:sz w:val="16"/>
        </w:rPr>
        <w:t> </w:t>
      </w:r>
      <w:r>
        <w:rPr>
          <w:color w:val="231F20"/>
          <w:sz w:val="16"/>
        </w:rPr>
        <w:t>international examples.</w:t>
      </w:r>
      <w:r>
        <w:rPr>
          <w:color w:val="231F20"/>
          <w:spacing w:val="-5"/>
          <w:sz w:val="16"/>
        </w:rPr>
        <w:t> </w:t>
      </w:r>
      <w:r>
        <w:rPr>
          <w:color w:val="231F20"/>
          <w:sz w:val="16"/>
        </w:rPr>
        <w:t>Despite</w:t>
      </w:r>
      <w:r>
        <w:rPr>
          <w:color w:val="231F20"/>
          <w:spacing w:val="-5"/>
          <w:sz w:val="16"/>
        </w:rPr>
        <w:t> </w:t>
      </w:r>
      <w:r>
        <w:rPr>
          <w:color w:val="231F20"/>
          <w:sz w:val="16"/>
        </w:rPr>
        <w:t>having</w:t>
      </w:r>
      <w:r>
        <w:rPr>
          <w:color w:val="231F20"/>
          <w:spacing w:val="-5"/>
          <w:sz w:val="16"/>
        </w:rPr>
        <w:t> </w:t>
      </w:r>
      <w:r>
        <w:rPr>
          <w:color w:val="231F20"/>
          <w:sz w:val="16"/>
        </w:rPr>
        <w:t>produced</w:t>
      </w:r>
      <w:r>
        <w:rPr>
          <w:color w:val="231F20"/>
          <w:spacing w:val="-5"/>
          <w:sz w:val="16"/>
        </w:rPr>
        <w:t> </w:t>
      </w:r>
      <w:r>
        <w:rPr>
          <w:color w:val="231F20"/>
          <w:sz w:val="16"/>
        </w:rPr>
        <w:t>170</w:t>
      </w:r>
      <w:r>
        <w:rPr>
          <w:color w:val="231F20"/>
          <w:spacing w:val="-5"/>
          <w:sz w:val="16"/>
        </w:rPr>
        <w:t> </w:t>
      </w:r>
      <w:r>
        <w:rPr>
          <w:color w:val="231F20"/>
          <w:sz w:val="16"/>
        </w:rPr>
        <w:t>t</w:t>
      </w:r>
      <w:r>
        <w:rPr>
          <w:color w:val="231F20"/>
          <w:spacing w:val="-5"/>
          <w:sz w:val="16"/>
        </w:rPr>
        <w:t> </w:t>
      </w:r>
      <w:r>
        <w:rPr>
          <w:color w:val="231F20"/>
          <w:sz w:val="16"/>
        </w:rPr>
        <w:t>of</w:t>
      </w:r>
      <w:r>
        <w:rPr>
          <w:color w:val="231F20"/>
          <w:spacing w:val="-12"/>
          <w:sz w:val="16"/>
        </w:rPr>
        <w:t> </w:t>
      </w:r>
      <w:r>
        <w:rPr>
          <w:color w:val="231F20"/>
          <w:sz w:val="16"/>
        </w:rPr>
        <w:t>Au,</w:t>
      </w:r>
      <w:r>
        <w:rPr>
          <w:color w:val="231F20"/>
          <w:spacing w:val="-5"/>
          <w:sz w:val="16"/>
        </w:rPr>
        <w:t> </w:t>
      </w:r>
      <w:r>
        <w:rPr>
          <w:color w:val="231F20"/>
          <w:sz w:val="16"/>
        </w:rPr>
        <w:t>the</w:t>
      </w:r>
      <w:r>
        <w:rPr>
          <w:color w:val="231F20"/>
          <w:spacing w:val="-5"/>
          <w:sz w:val="16"/>
        </w:rPr>
        <w:t> </w:t>
      </w:r>
      <w:r>
        <w:rPr>
          <w:color w:val="231F20"/>
          <w:sz w:val="16"/>
        </w:rPr>
        <w:t>Flin</w:t>
      </w:r>
      <w:r>
        <w:rPr>
          <w:color w:val="231F20"/>
          <w:spacing w:val="-5"/>
          <w:sz w:val="16"/>
        </w:rPr>
        <w:t> </w:t>
      </w:r>
      <w:r>
        <w:rPr>
          <w:color w:val="231F20"/>
          <w:sz w:val="16"/>
        </w:rPr>
        <w:t>Flon</w:t>
      </w:r>
      <w:r>
        <w:rPr>
          <w:color w:val="231F20"/>
          <w:spacing w:val="-5"/>
          <w:sz w:val="16"/>
        </w:rPr>
        <w:t> </w:t>
      </w:r>
      <w:r>
        <w:rPr>
          <w:color w:val="231F20"/>
          <w:sz w:val="16"/>
        </w:rPr>
        <w:t>deposit</w:t>
      </w:r>
      <w:r>
        <w:rPr>
          <w:color w:val="231F20"/>
          <w:spacing w:val="-5"/>
          <w:sz w:val="16"/>
        </w:rPr>
        <w:t> </w:t>
      </w:r>
      <w:r>
        <w:rPr>
          <w:color w:val="231F20"/>
          <w:sz w:val="16"/>
        </w:rPr>
        <w:t>is</w:t>
      </w:r>
      <w:r>
        <w:rPr>
          <w:color w:val="231F20"/>
          <w:spacing w:val="-5"/>
          <w:sz w:val="16"/>
        </w:rPr>
        <w:t> </w:t>
      </w:r>
      <w:r>
        <w:rPr>
          <w:color w:val="231F20"/>
          <w:sz w:val="16"/>
        </w:rPr>
        <w:t>not considered an auriferous VMS deposit under this classification. Modified from Hannington et al.</w:t>
      </w:r>
      <w:r>
        <w:rPr>
          <w:color w:val="231F20"/>
          <w:spacing w:val="12"/>
          <w:sz w:val="16"/>
        </w:rPr>
        <w:t> </w:t>
      </w:r>
      <w:r>
        <w:rPr>
          <w:color w:val="231F20"/>
          <w:sz w:val="16"/>
        </w:rPr>
        <w:t>(1999c).</w:t>
      </w:r>
    </w:p>
    <w:p>
      <w:pPr>
        <w:pStyle w:val="BodyText"/>
        <w:spacing w:before="1"/>
        <w:rPr>
          <w:sz w:val="16"/>
        </w:rPr>
      </w:pPr>
    </w:p>
    <w:p>
      <w:pPr>
        <w:pStyle w:val="BodyText"/>
        <w:spacing w:line="230" w:lineRule="auto"/>
        <w:ind w:left="315" w:right="1082"/>
        <w:jc w:val="both"/>
      </w:pPr>
      <w:r>
        <w:rPr>
          <w:color w:val="231F20"/>
        </w:rPr>
        <w:t>gate metal value (Cu+Zn+Pb), followed by Quebec and then Ontario (Fig. 7).</w:t>
      </w:r>
    </w:p>
    <w:p>
      <w:pPr>
        <w:pStyle w:val="Heading1"/>
        <w:spacing w:before="157"/>
        <w:ind w:left="1885"/>
      </w:pPr>
      <w:r>
        <w:rPr>
          <w:color w:val="231F20"/>
        </w:rPr>
        <w:t>Grade and Tonnage</w:t>
      </w:r>
    </w:p>
    <w:p>
      <w:pPr>
        <w:pStyle w:val="BodyText"/>
        <w:spacing w:line="230" w:lineRule="auto" w:before="69"/>
        <w:ind w:left="315" w:right="1081" w:firstLine="216"/>
        <w:jc w:val="both"/>
      </w:pPr>
      <w:r>
        <w:rPr>
          <w:color w:val="231F20"/>
        </w:rPr>
        <w:t>The</w:t>
      </w:r>
      <w:r>
        <w:rPr>
          <w:color w:val="231F20"/>
          <w:spacing w:val="-6"/>
        </w:rPr>
        <w:t> </w:t>
      </w:r>
      <w:r>
        <w:rPr>
          <w:color w:val="231F20"/>
        </w:rPr>
        <w:t>over</w:t>
      </w:r>
      <w:r>
        <w:rPr>
          <w:color w:val="231F20"/>
          <w:spacing w:val="-6"/>
        </w:rPr>
        <w:t> </w:t>
      </w:r>
      <w:r>
        <w:rPr>
          <w:color w:val="231F20"/>
        </w:rPr>
        <w:t>800</w:t>
      </w:r>
      <w:r>
        <w:rPr>
          <w:color w:val="231F20"/>
          <w:spacing w:val="-10"/>
        </w:rPr>
        <w:t> </w:t>
      </w:r>
      <w:r>
        <w:rPr>
          <w:color w:val="231F20"/>
        </w:rPr>
        <w:t>VMS</w:t>
      </w:r>
      <w:r>
        <w:rPr>
          <w:color w:val="231F20"/>
          <w:spacing w:val="-6"/>
        </w:rPr>
        <w:t> </w:t>
      </w:r>
      <w:r>
        <w:rPr>
          <w:color w:val="231F20"/>
        </w:rPr>
        <w:t>deposits</w:t>
      </w:r>
      <w:r>
        <w:rPr>
          <w:color w:val="231F20"/>
          <w:spacing w:val="-6"/>
        </w:rPr>
        <w:t> </w:t>
      </w:r>
      <w:r>
        <w:rPr>
          <w:color w:val="231F20"/>
        </w:rPr>
        <w:t>worldwide</w:t>
      </w:r>
      <w:r>
        <w:rPr>
          <w:color w:val="231F20"/>
          <w:spacing w:val="-6"/>
        </w:rPr>
        <w:t> </w:t>
      </w:r>
      <w:r>
        <w:rPr>
          <w:color w:val="231F20"/>
        </w:rPr>
        <w:t>range</w:t>
      </w:r>
      <w:r>
        <w:rPr>
          <w:color w:val="231F20"/>
          <w:spacing w:val="-6"/>
        </w:rPr>
        <w:t> </w:t>
      </w:r>
      <w:r>
        <w:rPr>
          <w:color w:val="231F20"/>
        </w:rPr>
        <w:t>in</w:t>
      </w:r>
      <w:r>
        <w:rPr>
          <w:color w:val="231F20"/>
          <w:spacing w:val="-6"/>
        </w:rPr>
        <w:t> </w:t>
      </w:r>
      <w:r>
        <w:rPr>
          <w:color w:val="231F20"/>
        </w:rPr>
        <w:t>size</w:t>
      </w:r>
      <w:r>
        <w:rPr>
          <w:color w:val="231F20"/>
          <w:spacing w:val="-6"/>
        </w:rPr>
        <w:t> </w:t>
      </w:r>
      <w:r>
        <w:rPr>
          <w:color w:val="231F20"/>
        </w:rPr>
        <w:t>from 200,000 tonnes to supergiant deposits containing more than 150 million tonnes (Franklin et al., 2005) </w:t>
      </w:r>
      <w:r>
        <w:rPr>
          <w:color w:val="231F20"/>
          <w:spacing w:val="-3"/>
        </w:rPr>
        <w:t>(Table </w:t>
      </w:r>
      <w:r>
        <w:rPr>
          <w:color w:val="231F20"/>
        </w:rPr>
        <w:t>3). Among the largest is Rio Tino, </w:t>
      </w:r>
      <w:r>
        <w:rPr>
          <w:color w:val="231F20"/>
          <w:spacing w:val="-3"/>
        </w:rPr>
        <w:t>Spain’s </w:t>
      </w:r>
      <w:r>
        <w:rPr>
          <w:color w:val="231F20"/>
        </w:rPr>
        <w:t>portion of the Iberian Pyrite Belt (IPB), with contained ore in excess of 1.535 Bt. The richest supergiant produced to date is Neves Corvo on the Portuguese side of the IPB, with ore in excess of 270 Mt, with 8.8 Mt of contained metal. At the average metal prices to date for 2006 (Cu=$1.75/lb, Zn=$1.25/lb, Ag=$6.00/oz), this orebody was originally worth in the order of 26 billion dollars (US). Other large districts are the Urals and Rudny Altai</w:t>
      </w:r>
      <w:r>
        <w:rPr>
          <w:color w:val="231F20"/>
          <w:spacing w:val="-10"/>
        </w:rPr>
        <w:t> </w:t>
      </w:r>
      <w:r>
        <w:rPr>
          <w:color w:val="231F20"/>
        </w:rPr>
        <w:t>of</w:t>
      </w:r>
      <w:r>
        <w:rPr>
          <w:color w:val="231F20"/>
          <w:spacing w:val="-9"/>
        </w:rPr>
        <w:t> </w:t>
      </w:r>
      <w:r>
        <w:rPr>
          <w:color w:val="231F20"/>
        </w:rPr>
        <w:t>Russia</w:t>
      </w:r>
      <w:r>
        <w:rPr>
          <w:color w:val="231F20"/>
          <w:spacing w:val="-9"/>
        </w:rPr>
        <w:t> </w:t>
      </w:r>
      <w:r>
        <w:rPr>
          <w:color w:val="231F20"/>
        </w:rPr>
        <w:t>and</w:t>
      </w:r>
      <w:r>
        <w:rPr>
          <w:color w:val="231F20"/>
          <w:spacing w:val="-9"/>
        </w:rPr>
        <w:t> </w:t>
      </w:r>
      <w:r>
        <w:rPr>
          <w:color w:val="231F20"/>
        </w:rPr>
        <w:t>Kazakhstan</w:t>
      </w:r>
      <w:r>
        <w:rPr>
          <w:color w:val="231F20"/>
          <w:spacing w:val="-10"/>
        </w:rPr>
        <w:t> </w:t>
      </w:r>
      <w:r>
        <w:rPr>
          <w:color w:val="231F20"/>
        </w:rPr>
        <w:t>with</w:t>
      </w:r>
      <w:r>
        <w:rPr>
          <w:color w:val="231F20"/>
          <w:spacing w:val="-10"/>
        </w:rPr>
        <w:t> </w:t>
      </w:r>
      <w:r>
        <w:rPr>
          <w:color w:val="231F20"/>
        </w:rPr>
        <w:t>over</w:t>
      </w:r>
      <w:r>
        <w:rPr>
          <w:color w:val="231F20"/>
          <w:spacing w:val="-9"/>
        </w:rPr>
        <w:t> </w:t>
      </w:r>
      <w:r>
        <w:rPr>
          <w:color w:val="231F20"/>
        </w:rPr>
        <w:t>70</w:t>
      </w:r>
      <w:r>
        <w:rPr>
          <w:color w:val="231F20"/>
          <w:spacing w:val="-9"/>
        </w:rPr>
        <w:t> </w:t>
      </w:r>
      <w:r>
        <w:rPr>
          <w:color w:val="231F20"/>
        </w:rPr>
        <w:t>Mt</w:t>
      </w:r>
      <w:r>
        <w:rPr>
          <w:color w:val="231F20"/>
          <w:spacing w:val="-10"/>
        </w:rPr>
        <w:t> </w:t>
      </w:r>
      <w:r>
        <w:rPr>
          <w:color w:val="231F20"/>
        </w:rPr>
        <w:t>of</w:t>
      </w:r>
      <w:r>
        <w:rPr>
          <w:color w:val="231F20"/>
          <w:spacing w:val="-9"/>
        </w:rPr>
        <w:t> </w:t>
      </w:r>
      <w:r>
        <w:rPr>
          <w:color w:val="231F20"/>
        </w:rPr>
        <w:t>contained metals each (Fig. 5). Canada has two supergiant VMS deposits (Windy Craggy and Brunswick No. 12) and two giant VMS deposits (Kidd Creek, and Horne), which are defined as being in the upper 1% of the </w:t>
      </w:r>
      <w:r>
        <w:rPr>
          <w:color w:val="231F20"/>
          <w:spacing w:val="-3"/>
        </w:rPr>
        <w:t>world’s </w:t>
      </w:r>
      <w:r>
        <w:rPr>
          <w:color w:val="231F20"/>
        </w:rPr>
        <w:t>VMS deposits with respect to total original reserves (Fig. 10A). In Canada, the largest VMS mining district is Bathurst, New Brunswick, which contained over 320 Mt of geological resource of massive sulphide containing 30 Mt of combined Zn, Cu, and Pb (Figs. 6, 10A). The 128 Mt Brunswick No. 12 deposit alone contained 16.4 Mt of metal </w:t>
      </w:r>
      <w:r>
        <w:rPr>
          <w:color w:val="231F20"/>
          <w:spacing w:val="-3"/>
        </w:rPr>
        <w:t>(Table </w:t>
      </w:r>
      <w:r>
        <w:rPr>
          <w:color w:val="231F20"/>
        </w:rPr>
        <w:t>2). This is</w:t>
      </w:r>
      <w:r>
        <w:rPr>
          <w:color w:val="231F20"/>
          <w:spacing w:val="10"/>
        </w:rPr>
        <w:t> </w:t>
      </w:r>
      <w:r>
        <w:rPr>
          <w:color w:val="231F20"/>
        </w:rPr>
        <w:t>followed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138.7</w:t>
      </w:r>
      <w:r>
        <w:rPr>
          <w:color w:val="231F20"/>
          <w:spacing w:val="10"/>
        </w:rPr>
        <w:t> </w:t>
      </w:r>
      <w:r>
        <w:rPr>
          <w:color w:val="231F20"/>
        </w:rPr>
        <w:t>Mt</w:t>
      </w:r>
      <w:r>
        <w:rPr>
          <w:color w:val="231F20"/>
          <w:spacing w:val="10"/>
        </w:rPr>
        <w:t> </w:t>
      </w:r>
      <w:r>
        <w:rPr>
          <w:color w:val="231F20"/>
        </w:rPr>
        <w:t>Kidd</w:t>
      </w:r>
      <w:r>
        <w:rPr>
          <w:color w:val="231F20"/>
          <w:spacing w:val="10"/>
        </w:rPr>
        <w:t> </w:t>
      </w:r>
      <w:r>
        <w:rPr>
          <w:color w:val="231F20"/>
        </w:rPr>
        <w:t>Creek</w:t>
      </w:r>
      <w:r>
        <w:rPr>
          <w:color w:val="231F20"/>
          <w:spacing w:val="10"/>
        </w:rPr>
        <w:t> </w:t>
      </w:r>
      <w:r>
        <w:rPr>
          <w:color w:val="231F20"/>
        </w:rPr>
        <w:t>deposit</w:t>
      </w:r>
      <w:r>
        <w:rPr>
          <w:color w:val="231F20"/>
          <w:spacing w:val="10"/>
        </w:rPr>
        <w:t> </w:t>
      </w:r>
      <w:r>
        <w:rPr>
          <w:color w:val="231F20"/>
        </w:rPr>
        <w:t>containing</w:t>
      </w:r>
    </w:p>
    <w:p>
      <w:pPr>
        <w:pStyle w:val="ListParagraph"/>
        <w:numPr>
          <w:ilvl w:val="1"/>
          <w:numId w:val="2"/>
        </w:numPr>
        <w:tabs>
          <w:tab w:pos="716" w:val="left" w:leader="none"/>
        </w:tabs>
        <w:spacing w:line="200" w:lineRule="exact" w:before="0" w:after="0"/>
        <w:ind w:left="715" w:right="0" w:hanging="400"/>
        <w:jc w:val="left"/>
        <w:rPr>
          <w:sz w:val="20"/>
        </w:rPr>
      </w:pPr>
      <w:r>
        <w:rPr>
          <w:color w:val="231F20"/>
          <w:sz w:val="20"/>
        </w:rPr>
        <w:t>Mt of metal. The largest known Canadian VMS</w:t>
      </w:r>
      <w:r>
        <w:rPr>
          <w:color w:val="231F20"/>
          <w:spacing w:val="-10"/>
          <w:sz w:val="20"/>
        </w:rPr>
        <w:t> </w:t>
      </w:r>
      <w:r>
        <w:rPr>
          <w:color w:val="231F20"/>
          <w:sz w:val="20"/>
        </w:rPr>
        <w:t>deposit</w:t>
      </w:r>
    </w:p>
    <w:p>
      <w:pPr>
        <w:pStyle w:val="BodyText"/>
        <w:spacing w:line="230" w:lineRule="auto" w:before="3"/>
        <w:ind w:left="315" w:right="1081"/>
        <w:jc w:val="both"/>
      </w:pPr>
      <w:r>
        <w:rPr>
          <w:color w:val="231F20"/>
        </w:rPr>
        <w:t>is the 297 Mt Windy Craggy deposit, but it contains only</w:t>
      </w:r>
      <w:r>
        <w:rPr>
          <w:color w:val="231F20"/>
          <w:spacing w:val="-24"/>
        </w:rPr>
        <w:t> </w:t>
      </w:r>
      <w:r>
        <w:rPr>
          <w:color w:val="231F20"/>
        </w:rPr>
        <w:t>4.1 Mt</w:t>
      </w:r>
      <w:r>
        <w:rPr>
          <w:color w:val="231F20"/>
          <w:spacing w:val="-4"/>
        </w:rPr>
        <w:t> </w:t>
      </w:r>
      <w:r>
        <w:rPr>
          <w:color w:val="231F20"/>
        </w:rPr>
        <w:t>of</w:t>
      </w:r>
      <w:r>
        <w:rPr>
          <w:color w:val="231F20"/>
          <w:spacing w:val="-4"/>
        </w:rPr>
        <w:t> </w:t>
      </w:r>
      <w:r>
        <w:rPr>
          <w:color w:val="231F20"/>
        </w:rPr>
        <w:t>Cu,</w:t>
      </w:r>
      <w:r>
        <w:rPr>
          <w:color w:val="231F20"/>
          <w:spacing w:val="-4"/>
        </w:rPr>
        <w:t> </w:t>
      </w:r>
      <w:r>
        <w:rPr>
          <w:color w:val="231F20"/>
        </w:rPr>
        <w:t>Co,</w:t>
      </w:r>
      <w:r>
        <w:rPr>
          <w:color w:val="231F20"/>
          <w:spacing w:val="-4"/>
        </w:rPr>
        <w:t> </w:t>
      </w:r>
      <w:r>
        <w:rPr>
          <w:color w:val="231F20"/>
        </w:rPr>
        <w:t>and</w:t>
      </w:r>
      <w:r>
        <w:rPr>
          <w:color w:val="231F20"/>
          <w:spacing w:val="-15"/>
        </w:rPr>
        <w:t> </w:t>
      </w:r>
      <w:r>
        <w:rPr>
          <w:color w:val="231F20"/>
        </w:rPr>
        <w:t>Au.</w:t>
      </w:r>
      <w:r>
        <w:rPr>
          <w:color w:val="231F20"/>
          <w:spacing w:val="-8"/>
        </w:rPr>
        <w:t> </w:t>
      </w:r>
      <w:r>
        <w:rPr>
          <w:color w:val="231F20"/>
        </w:rPr>
        <w:t>The</w:t>
      </w:r>
      <w:r>
        <w:rPr>
          <w:color w:val="231F20"/>
          <w:spacing w:val="-4"/>
        </w:rPr>
        <w:t> </w:t>
      </w:r>
      <w:r>
        <w:rPr>
          <w:color w:val="231F20"/>
        </w:rPr>
        <w:t>50</w:t>
      </w:r>
      <w:r>
        <w:rPr>
          <w:color w:val="231F20"/>
          <w:spacing w:val="-4"/>
        </w:rPr>
        <w:t> </w:t>
      </w:r>
      <w:r>
        <w:rPr>
          <w:color w:val="231F20"/>
        </w:rPr>
        <w:t>Mt</w:t>
      </w:r>
      <w:r>
        <w:rPr>
          <w:color w:val="231F20"/>
          <w:spacing w:val="-4"/>
        </w:rPr>
        <w:t> </w:t>
      </w:r>
      <w:r>
        <w:rPr>
          <w:color w:val="231F20"/>
        </w:rPr>
        <w:t>Horne</w:t>
      </w:r>
      <w:r>
        <w:rPr>
          <w:color w:val="231F20"/>
          <w:spacing w:val="-4"/>
        </w:rPr>
        <w:t> </w:t>
      </w:r>
      <w:r>
        <w:rPr>
          <w:color w:val="231F20"/>
        </w:rPr>
        <w:t>deposit</w:t>
      </w:r>
      <w:r>
        <w:rPr>
          <w:color w:val="231F20"/>
          <w:spacing w:val="-4"/>
        </w:rPr>
        <w:t> </w:t>
      </w:r>
      <w:r>
        <w:rPr>
          <w:color w:val="231F20"/>
        </w:rPr>
        <w:t>contains</w:t>
      </w:r>
      <w:r>
        <w:rPr>
          <w:color w:val="231F20"/>
          <w:spacing w:val="-4"/>
        </w:rPr>
        <w:t> </w:t>
      </w:r>
      <w:r>
        <w:rPr>
          <w:color w:val="231F20"/>
        </w:rPr>
        <w:t>2.2 Mt of Zn+Cu+Pb, along with over 330 t of Au, making it also a world-class gold deposit (Fig. 10B). The 98 Mt LaRonde</w:t>
      </w:r>
      <w:r>
        <w:rPr>
          <w:color w:val="231F20"/>
          <w:spacing w:val="-10"/>
        </w:rPr>
        <w:t> </w:t>
      </w:r>
      <w:r>
        <w:rPr>
          <w:color w:val="231F20"/>
        </w:rPr>
        <w:t>VMS</w:t>
      </w:r>
      <w:r>
        <w:rPr>
          <w:color w:val="231F20"/>
          <w:spacing w:val="-7"/>
        </w:rPr>
        <w:t> </w:t>
      </w:r>
      <w:r>
        <w:rPr>
          <w:color w:val="231F20"/>
        </w:rPr>
        <w:t>deposit</w:t>
      </w:r>
      <w:r>
        <w:rPr>
          <w:color w:val="231F20"/>
          <w:spacing w:val="-6"/>
        </w:rPr>
        <w:t> </w:t>
      </w:r>
      <w:r>
        <w:rPr>
          <w:color w:val="231F20"/>
        </w:rPr>
        <w:t>contains</w:t>
      </w:r>
      <w:r>
        <w:rPr>
          <w:color w:val="231F20"/>
          <w:spacing w:val="-6"/>
        </w:rPr>
        <w:t> </w:t>
      </w:r>
      <w:r>
        <w:rPr>
          <w:color w:val="231F20"/>
        </w:rPr>
        <w:t>258</w:t>
      </w:r>
      <w:r>
        <w:rPr>
          <w:color w:val="231F20"/>
          <w:spacing w:val="-6"/>
        </w:rPr>
        <w:t> </w:t>
      </w:r>
      <w:r>
        <w:rPr>
          <w:color w:val="231F20"/>
        </w:rPr>
        <w:t>Mt</w:t>
      </w:r>
      <w:r>
        <w:rPr>
          <w:color w:val="231F20"/>
          <w:spacing w:val="-7"/>
        </w:rPr>
        <w:t> </w:t>
      </w:r>
      <w:r>
        <w:rPr>
          <w:color w:val="231F20"/>
        </w:rPr>
        <w:t>of</w:t>
      </w:r>
      <w:r>
        <w:rPr>
          <w:color w:val="231F20"/>
          <w:spacing w:val="-6"/>
        </w:rPr>
        <w:t> </w:t>
      </w:r>
      <w:r>
        <w:rPr>
          <w:color w:val="231F20"/>
        </w:rPr>
        <w:t>gold,</w:t>
      </w:r>
      <w:r>
        <w:rPr>
          <w:color w:val="231F20"/>
          <w:spacing w:val="-6"/>
        </w:rPr>
        <w:t> </w:t>
      </w:r>
      <w:r>
        <w:rPr>
          <w:color w:val="231F20"/>
        </w:rPr>
        <w:t>and</w:t>
      </w:r>
      <w:r>
        <w:rPr>
          <w:color w:val="231F20"/>
          <w:spacing w:val="-6"/>
        </w:rPr>
        <w:t> </w:t>
      </w:r>
      <w:r>
        <w:rPr>
          <w:color w:val="231F20"/>
        </w:rPr>
        <w:t>because of its high Au/base metal ratio (Au ppm/Zn+Cu+Pb% = 1.9) it is classified by its owner as a gold deposit rather than a VMS</w:t>
      </w:r>
      <w:r>
        <w:rPr>
          <w:color w:val="231F20"/>
          <w:spacing w:val="2"/>
        </w:rPr>
        <w:t> </w:t>
      </w:r>
      <w:r>
        <w:rPr>
          <w:color w:val="231F20"/>
        </w:rPr>
        <w:t>deposit.</w:t>
      </w:r>
    </w:p>
    <w:p>
      <w:pPr>
        <w:pStyle w:val="BodyText"/>
        <w:spacing w:line="230" w:lineRule="auto" w:before="30"/>
        <w:ind w:left="315" w:right="1081" w:firstLine="216"/>
        <w:jc w:val="both"/>
      </w:pPr>
      <w:r>
        <w:rPr>
          <w:color w:val="231F20"/>
        </w:rPr>
        <w:t>Determining the mean and median metal concentrations for Canadian VMS deposits is difficult due to missing or</w:t>
      </w:r>
    </w:p>
    <w:p>
      <w:pPr>
        <w:spacing w:after="0" w:line="230" w:lineRule="auto"/>
        <w:jc w:val="both"/>
        <w:sectPr>
          <w:type w:val="continuous"/>
          <w:pgSz w:w="12240" w:h="15840"/>
          <w:pgMar w:top="920" w:bottom="280" w:left="0" w:right="0"/>
          <w:cols w:num="2" w:equalWidth="0">
            <w:col w:w="5961" w:space="40"/>
            <w:col w:w="6239"/>
          </w:cols>
        </w:sectPr>
      </w:pPr>
    </w:p>
    <w:p>
      <w:pPr>
        <w:pStyle w:val="BodyText"/>
        <w:spacing w:before="6"/>
        <w:rPr>
          <w:sz w:val="18"/>
        </w:rPr>
      </w:pPr>
    </w:p>
    <w:tbl>
      <w:tblPr>
        <w:tblW w:w="0" w:type="auto"/>
        <w:jc w:val="left"/>
        <w:tblInd w:w="109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075"/>
        <w:gridCol w:w="4971"/>
      </w:tblGrid>
      <w:tr>
        <w:trPr>
          <w:trHeight w:val="3101" w:hRule="atLeast"/>
        </w:trPr>
        <w:tc>
          <w:tcPr>
            <w:tcW w:w="5075" w:type="dxa"/>
            <w:tcBorders>
              <w:right w:val="single" w:sz="6" w:space="0" w:color="231F20"/>
            </w:tcBorders>
          </w:tcPr>
          <w:p>
            <w:pPr>
              <w:pStyle w:val="TableParagraph"/>
              <w:tabs>
                <w:tab w:pos="3917" w:val="left" w:leader="none"/>
              </w:tabs>
              <w:spacing w:line="206" w:lineRule="auto" w:before="145"/>
              <w:ind w:left="4104" w:right="226" w:hanging="1386"/>
              <w:rPr>
                <w:b/>
                <w:sz w:val="16"/>
              </w:rPr>
            </w:pPr>
            <w:r>
              <w:rPr>
                <w:color w:val="414042"/>
                <w:w w:val="105"/>
                <w:position w:val="-2"/>
                <w:sz w:val="13"/>
              </w:rPr>
              <w:t>100</w:t>
            </w:r>
            <w:r>
              <w:rPr>
                <w:color w:val="414042"/>
                <w:spacing w:val="-7"/>
                <w:w w:val="105"/>
                <w:position w:val="-2"/>
                <w:sz w:val="13"/>
              </w:rPr>
              <w:t> </w:t>
            </w:r>
            <w:r>
              <w:rPr>
                <w:color w:val="414042"/>
                <w:w w:val="105"/>
                <w:position w:val="-2"/>
                <w:sz w:val="13"/>
              </w:rPr>
              <w:t>m</w:t>
              <w:tab/>
            </w:r>
            <w:r>
              <w:rPr>
                <w:b/>
                <w:color w:val="231F20"/>
                <w:spacing w:val="-1"/>
                <w:w w:val="105"/>
                <w:sz w:val="16"/>
              </w:rPr>
              <w:t>BACK-ARC </w:t>
            </w:r>
            <w:r>
              <w:rPr>
                <w:b/>
                <w:color w:val="231F20"/>
                <w:w w:val="105"/>
                <w:sz w:val="16"/>
              </w:rPr>
              <w:t>MAFIC</w:t>
            </w:r>
          </w:p>
          <w:p>
            <w:pPr>
              <w:pStyle w:val="TableParagraph"/>
              <w:spacing w:line="211" w:lineRule="auto" w:before="93"/>
              <w:ind w:left="3749" w:right="59"/>
              <w:jc w:val="center"/>
              <w:rPr>
                <w:sz w:val="15"/>
              </w:rPr>
            </w:pPr>
            <w:r>
              <w:rPr>
                <w:color w:val="231F20"/>
                <w:sz w:val="15"/>
              </w:rPr>
              <w:t>Canadian grade</w:t>
            </w:r>
            <w:r>
              <w:rPr>
                <w:color w:val="231F20"/>
                <w:w w:val="99"/>
                <w:sz w:val="15"/>
              </w:rPr>
              <w:t> </w:t>
            </w:r>
            <w:r>
              <w:rPr>
                <w:color w:val="231F20"/>
                <w:sz w:val="15"/>
              </w:rPr>
              <w:t>and tonnage</w:t>
            </w:r>
          </w:p>
          <w:p>
            <w:pPr>
              <w:pStyle w:val="TableParagraph"/>
              <w:spacing w:line="240" w:lineRule="auto" w:before="49"/>
              <w:ind w:left="3744" w:right="59"/>
              <w:jc w:val="center"/>
              <w:rPr>
                <w:sz w:val="14"/>
              </w:rPr>
            </w:pPr>
            <w:r>
              <w:rPr>
                <w:color w:val="231F20"/>
                <w:w w:val="110"/>
                <w:sz w:val="14"/>
              </w:rPr>
              <w:t>Average 1.3 Mt Median 2.3Mt</w:t>
            </w:r>
          </w:p>
          <w:p>
            <w:pPr>
              <w:pStyle w:val="TableParagraph"/>
              <w:spacing w:line="170" w:lineRule="exact" w:before="57"/>
              <w:ind w:right="423"/>
              <w:jc w:val="right"/>
              <w:rPr>
                <w:sz w:val="15"/>
              </w:rPr>
            </w:pPr>
            <w:r>
              <w:rPr>
                <w:color w:val="231F20"/>
                <w:sz w:val="15"/>
              </w:rPr>
              <w:t>3.2% Cu</w:t>
            </w:r>
          </w:p>
          <w:p>
            <w:pPr>
              <w:pStyle w:val="TableParagraph"/>
              <w:spacing w:line="147" w:lineRule="exact" w:before="0"/>
              <w:ind w:right="439"/>
              <w:jc w:val="right"/>
              <w:rPr>
                <w:sz w:val="15"/>
              </w:rPr>
            </w:pPr>
            <w:r>
              <w:rPr>
                <w:color w:val="231F20"/>
                <w:sz w:val="15"/>
              </w:rPr>
              <w:t>1.9% Zn</w:t>
            </w:r>
          </w:p>
          <w:p>
            <w:pPr>
              <w:pStyle w:val="TableParagraph"/>
              <w:tabs>
                <w:tab w:pos="2683" w:val="left" w:leader="none"/>
              </w:tabs>
              <w:spacing w:line="103" w:lineRule="auto" w:before="23"/>
              <w:ind w:right="431"/>
              <w:jc w:val="right"/>
              <w:rPr>
                <w:sz w:val="15"/>
              </w:rPr>
            </w:pPr>
            <w:r>
              <w:rPr>
                <w:color w:val="231F20"/>
                <w:sz w:val="13"/>
              </w:rPr>
              <w:t>Chlorite-sericite</w:t>
            </w:r>
            <w:r>
              <w:rPr>
                <w:color w:val="231F20"/>
                <w:spacing w:val="0"/>
                <w:sz w:val="13"/>
              </w:rPr>
              <w:t> </w:t>
            </w:r>
            <w:r>
              <w:rPr>
                <w:color w:val="231F20"/>
                <w:sz w:val="13"/>
              </w:rPr>
              <w:t>alteration</w:t>
              <w:tab/>
            </w:r>
            <w:r>
              <w:rPr>
                <w:color w:val="231F20"/>
                <w:position w:val="-5"/>
                <w:sz w:val="15"/>
              </w:rPr>
              <w:t>0.0%</w:t>
            </w:r>
            <w:r>
              <w:rPr>
                <w:color w:val="231F20"/>
                <w:spacing w:val="-1"/>
                <w:position w:val="-5"/>
                <w:sz w:val="15"/>
              </w:rPr>
              <w:t> </w:t>
            </w:r>
            <w:r>
              <w:rPr>
                <w:color w:val="231F20"/>
                <w:position w:val="-5"/>
                <w:sz w:val="15"/>
              </w:rPr>
              <w:t>Pb</w:t>
            </w:r>
          </w:p>
          <w:p>
            <w:pPr>
              <w:pStyle w:val="TableParagraph"/>
              <w:spacing w:line="73" w:lineRule="exact" w:before="0"/>
              <w:ind w:left="1551"/>
              <w:rPr>
                <w:sz w:val="13"/>
              </w:rPr>
            </w:pPr>
            <w:r>
              <w:rPr>
                <w:color w:val="231F20"/>
                <w:sz w:val="13"/>
              </w:rPr>
              <w:t>+ jasper infilling</w:t>
            </w:r>
          </w:p>
          <w:p>
            <w:pPr>
              <w:pStyle w:val="TableParagraph"/>
              <w:spacing w:line="146" w:lineRule="exact" w:before="0"/>
              <w:ind w:right="406"/>
              <w:jc w:val="right"/>
              <w:rPr>
                <w:sz w:val="15"/>
              </w:rPr>
            </w:pPr>
            <w:r>
              <w:rPr>
                <w:color w:val="231F20"/>
                <w:sz w:val="15"/>
              </w:rPr>
              <w:t>15 g/t Ag</w:t>
            </w:r>
          </w:p>
          <w:p>
            <w:pPr>
              <w:pStyle w:val="TableParagraph"/>
              <w:tabs>
                <w:tab w:pos="1437" w:val="left" w:leader="none"/>
              </w:tabs>
              <w:spacing w:line="255" w:lineRule="exact" w:before="0"/>
              <w:ind w:right="364"/>
              <w:jc w:val="right"/>
              <w:rPr>
                <w:sz w:val="15"/>
              </w:rPr>
            </w:pPr>
            <w:r>
              <w:rPr>
                <w:color w:val="231F20"/>
                <w:sz w:val="13"/>
              </w:rPr>
              <w:t>Pillowed mafic</w:t>
              <w:tab/>
            </w:r>
            <w:r>
              <w:rPr>
                <w:color w:val="231F20"/>
                <w:position w:val="9"/>
                <w:sz w:val="15"/>
              </w:rPr>
              <w:t>2.5 g/t</w:t>
            </w:r>
            <w:r>
              <w:rPr>
                <w:color w:val="231F20"/>
                <w:spacing w:val="-11"/>
                <w:position w:val="9"/>
                <w:sz w:val="15"/>
              </w:rPr>
              <w:t> </w:t>
            </w:r>
            <w:r>
              <w:rPr>
                <w:color w:val="231F20"/>
                <w:position w:val="9"/>
                <w:sz w:val="15"/>
              </w:rPr>
              <w:t>Au</w:t>
            </w:r>
          </w:p>
          <w:p>
            <w:pPr>
              <w:pStyle w:val="TableParagraph"/>
              <w:spacing w:line="148" w:lineRule="exact" w:before="0"/>
              <w:ind w:left="528" w:right="59"/>
              <w:jc w:val="center"/>
              <w:rPr>
                <w:sz w:val="13"/>
              </w:rPr>
            </w:pPr>
            <w:r>
              <w:rPr>
                <w:color w:val="231F20"/>
                <w:sz w:val="13"/>
              </w:rPr>
              <w:t>flows</w:t>
            </w:r>
          </w:p>
          <w:p>
            <w:pPr>
              <w:pStyle w:val="TableParagraph"/>
              <w:tabs>
                <w:tab w:pos="1589" w:val="left" w:leader="none"/>
                <w:tab w:pos="3335" w:val="left" w:leader="none"/>
              </w:tabs>
              <w:spacing w:line="158" w:lineRule="auto" w:before="96"/>
              <w:ind w:left="328" w:right="161"/>
              <w:rPr>
                <w:sz w:val="13"/>
              </w:rPr>
            </w:pPr>
            <w:r>
              <w:rPr>
                <w:color w:val="414042"/>
                <w:sz w:val="13"/>
              </w:rPr>
              <w:t>Banded</w:t>
            </w:r>
            <w:r>
              <w:rPr>
                <w:color w:val="414042"/>
                <w:spacing w:val="-5"/>
                <w:sz w:val="13"/>
              </w:rPr>
              <w:t> </w:t>
            </w:r>
            <w:r>
              <w:rPr>
                <w:color w:val="414042"/>
                <w:sz w:val="13"/>
              </w:rPr>
              <w:t>jasper-</w:t>
              <w:tab/>
            </w:r>
            <w:r>
              <w:rPr>
                <w:color w:val="414042"/>
                <w:position w:val="1"/>
                <w:sz w:val="13"/>
              </w:rPr>
              <w:t>Sphalerite-chalcoppyrite</w:t>
              <w:tab/>
            </w:r>
            <w:r>
              <w:rPr>
                <w:color w:val="231F20"/>
                <w:position w:val="-3"/>
                <w:sz w:val="13"/>
              </w:rPr>
              <w:t>Pyrite-quartz in situ</w:t>
            </w:r>
            <w:r>
              <w:rPr>
                <w:color w:val="231F20"/>
                <w:spacing w:val="-22"/>
                <w:position w:val="-3"/>
                <w:sz w:val="13"/>
              </w:rPr>
              <w:t> </w:t>
            </w:r>
            <w:r>
              <w:rPr>
                <w:color w:val="231F20"/>
                <w:position w:val="-3"/>
                <w:sz w:val="13"/>
              </w:rPr>
              <w:t>breccia </w:t>
            </w:r>
            <w:r>
              <w:rPr>
                <w:color w:val="414042"/>
                <w:sz w:val="13"/>
              </w:rPr>
              <w:t>chert-sulphide</w:t>
              <w:tab/>
            </w:r>
            <w:r>
              <w:rPr>
                <w:color w:val="414042"/>
                <w:position w:val="1"/>
                <w:sz w:val="13"/>
              </w:rPr>
              <w:t>-rich</w:t>
            </w:r>
            <w:r>
              <w:rPr>
                <w:color w:val="414042"/>
                <w:spacing w:val="-2"/>
                <w:position w:val="1"/>
                <w:sz w:val="13"/>
              </w:rPr>
              <w:t> </w:t>
            </w:r>
            <w:r>
              <w:rPr>
                <w:color w:val="414042"/>
                <w:position w:val="1"/>
                <w:sz w:val="13"/>
              </w:rPr>
              <w:t>margin</w:t>
            </w:r>
          </w:p>
          <w:p>
            <w:pPr>
              <w:pStyle w:val="TableParagraph"/>
              <w:tabs>
                <w:tab w:pos="1748" w:val="left" w:leader="none"/>
              </w:tabs>
              <w:spacing w:line="137" w:lineRule="exact" w:before="0"/>
              <w:ind w:right="364"/>
              <w:jc w:val="right"/>
              <w:rPr>
                <w:sz w:val="13"/>
              </w:rPr>
            </w:pPr>
            <w:r>
              <w:rPr>
                <w:position w:val="-1"/>
              </w:rPr>
              <w:drawing>
                <wp:inline distT="0" distB="0" distL="0" distR="0">
                  <wp:extent cx="177190" cy="105587"/>
                  <wp:effectExtent l="0" t="0" r="0" b="0"/>
                  <wp:docPr id="1" name="image18.png" descr=""/>
                  <wp:cNvGraphicFramePr>
                    <a:graphicFrameLocks noChangeAspect="1"/>
                  </wp:cNvGraphicFramePr>
                  <a:graphic>
                    <a:graphicData uri="http://schemas.openxmlformats.org/drawingml/2006/picture">
                      <pic:pic>
                        <pic:nvPicPr>
                          <pic:cNvPr id="2" name="image18.png"/>
                          <pic:cNvPicPr/>
                        </pic:nvPicPr>
                        <pic:blipFill>
                          <a:blip r:embed="rId27" cstate="print"/>
                          <a:stretch>
                            <a:fillRect/>
                          </a:stretch>
                        </pic:blipFill>
                        <pic:spPr>
                          <a:xfrm>
                            <a:off x="0" y="0"/>
                            <a:ext cx="177190" cy="105587"/>
                          </a:xfrm>
                          <a:prstGeom prst="rect">
                            <a:avLst/>
                          </a:prstGeom>
                        </pic:spPr>
                      </pic:pic>
                    </a:graphicData>
                  </a:graphic>
                </wp:inline>
              </w:drawing>
            </w:r>
            <w:r>
              <w:rPr>
                <w:position w:val="-1"/>
              </w:rPr>
            </w:r>
            <w:r>
              <w:rPr>
                <w:rFonts w:ascii="Times New Roman"/>
                <w:spacing w:val="15"/>
                <w:position w:val="0"/>
                <w:sz w:val="20"/>
              </w:rPr>
              <w:t> </w:t>
            </w:r>
            <w:r>
              <w:rPr>
                <w:color w:val="414042"/>
                <w:w w:val="95"/>
                <w:position w:val="0"/>
                <w:sz w:val="13"/>
              </w:rPr>
              <w:t>Pyrite-quartz</w:t>
            </w:r>
            <w:r>
              <w:rPr>
                <w:color w:val="414042"/>
                <w:spacing w:val="30"/>
                <w:w w:val="95"/>
                <w:position w:val="0"/>
                <w:sz w:val="13"/>
              </w:rPr>
              <w:t> </w:t>
            </w:r>
            <w:r>
              <w:rPr>
                <w:color w:val="414042"/>
                <w:w w:val="95"/>
                <w:position w:val="0"/>
                <w:sz w:val="13"/>
              </w:rPr>
              <w:t>breccia</w:t>
              <w:tab/>
            </w:r>
            <w:r>
              <w:rPr>
                <w:color w:val="414042"/>
                <w:position w:val="-1"/>
                <w:sz w:val="13"/>
              </w:rPr>
              <w:drawing>
                <wp:inline distT="0" distB="0" distL="0" distR="0">
                  <wp:extent cx="177190" cy="105587"/>
                  <wp:effectExtent l="0" t="0" r="0" b="0"/>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8" cstate="print"/>
                          <a:stretch>
                            <a:fillRect/>
                          </a:stretch>
                        </pic:blipFill>
                        <pic:spPr>
                          <a:xfrm>
                            <a:off x="0" y="0"/>
                            <a:ext cx="177190" cy="105587"/>
                          </a:xfrm>
                          <a:prstGeom prst="rect">
                            <a:avLst/>
                          </a:prstGeom>
                        </pic:spPr>
                      </pic:pic>
                    </a:graphicData>
                  </a:graphic>
                </wp:inline>
              </w:drawing>
            </w:r>
            <w:r>
              <w:rPr>
                <w:color w:val="414042"/>
                <w:position w:val="-1"/>
                <w:sz w:val="13"/>
              </w:rPr>
            </w:r>
            <w:r>
              <w:rPr>
                <w:rFonts w:ascii="Times New Roman"/>
                <w:color w:val="414042"/>
                <w:spacing w:val="12"/>
                <w:sz w:val="13"/>
              </w:rPr>
              <w:t> </w:t>
            </w:r>
            <w:r>
              <w:rPr>
                <w:color w:val="414042"/>
                <w:sz w:val="13"/>
              </w:rPr>
              <w:t>Quartz-pyrite</w:t>
            </w:r>
            <w:r>
              <w:rPr>
                <w:color w:val="414042"/>
                <w:spacing w:val="-16"/>
                <w:sz w:val="13"/>
              </w:rPr>
              <w:t> </w:t>
            </w:r>
            <w:r>
              <w:rPr>
                <w:color w:val="414042"/>
                <w:sz w:val="13"/>
              </w:rPr>
              <w:t>stockwork</w:t>
            </w:r>
          </w:p>
          <w:p>
            <w:pPr>
              <w:pStyle w:val="TableParagraph"/>
              <w:tabs>
                <w:tab w:pos="3010" w:val="left" w:leader="none"/>
              </w:tabs>
              <w:spacing w:line="240" w:lineRule="auto" w:before="22"/>
              <w:ind w:left="1268"/>
              <w:rPr>
                <w:sz w:val="13"/>
              </w:rPr>
            </w:pPr>
            <w:r>
              <w:rPr/>
              <w:drawing>
                <wp:inline distT="0" distB="0" distL="0" distR="0">
                  <wp:extent cx="177190" cy="105575"/>
                  <wp:effectExtent l="0" t="0" r="0" b="0"/>
                  <wp:docPr id="5" name="image20.png" descr=""/>
                  <wp:cNvGraphicFramePr>
                    <a:graphicFrameLocks noChangeAspect="1"/>
                  </wp:cNvGraphicFramePr>
                  <a:graphic>
                    <a:graphicData uri="http://schemas.openxmlformats.org/drawingml/2006/picture">
                      <pic:pic>
                        <pic:nvPicPr>
                          <pic:cNvPr id="6" name="image20.png"/>
                          <pic:cNvPicPr/>
                        </pic:nvPicPr>
                        <pic:blipFill>
                          <a:blip r:embed="rId29" cstate="print"/>
                          <a:stretch>
                            <a:fillRect/>
                          </a:stretch>
                        </pic:blipFill>
                        <pic:spPr>
                          <a:xfrm>
                            <a:off x="0" y="0"/>
                            <a:ext cx="177190" cy="105575"/>
                          </a:xfrm>
                          <a:prstGeom prst="rect">
                            <a:avLst/>
                          </a:prstGeom>
                        </pic:spPr>
                      </pic:pic>
                    </a:graphicData>
                  </a:graphic>
                </wp:inline>
              </w:drawing>
            </w:r>
            <w:r>
              <w:rPr/>
            </w:r>
            <w:r>
              <w:rPr>
                <w:rFonts w:ascii="Times New Roman"/>
                <w:spacing w:val="5"/>
                <w:position w:val="4"/>
                <w:sz w:val="20"/>
              </w:rPr>
              <w:t> </w:t>
            </w:r>
            <w:r>
              <w:rPr>
                <w:color w:val="414042"/>
                <w:position w:val="4"/>
                <w:sz w:val="13"/>
              </w:rPr>
              <w:t>Massive</w:t>
            </w:r>
            <w:r>
              <w:rPr>
                <w:color w:val="414042"/>
                <w:spacing w:val="-13"/>
                <w:position w:val="4"/>
                <w:sz w:val="13"/>
              </w:rPr>
              <w:t> </w:t>
            </w:r>
            <w:r>
              <w:rPr>
                <w:color w:val="414042"/>
                <w:position w:val="4"/>
                <w:sz w:val="13"/>
              </w:rPr>
              <w:t>pyrite</w:t>
              <w:tab/>
            </w:r>
            <w:r>
              <w:rPr>
                <w:color w:val="414042"/>
                <w:sz w:val="13"/>
              </w:rPr>
              <w:drawing>
                <wp:inline distT="0" distB="0" distL="0" distR="0">
                  <wp:extent cx="177190" cy="105575"/>
                  <wp:effectExtent l="0" t="0" r="0" b="0"/>
                  <wp:docPr id="7" name="image21.png" descr=""/>
                  <wp:cNvGraphicFramePr>
                    <a:graphicFrameLocks noChangeAspect="1"/>
                  </wp:cNvGraphicFramePr>
                  <a:graphic>
                    <a:graphicData uri="http://schemas.openxmlformats.org/drawingml/2006/picture">
                      <pic:pic>
                        <pic:nvPicPr>
                          <pic:cNvPr id="8" name="image21.png"/>
                          <pic:cNvPicPr/>
                        </pic:nvPicPr>
                        <pic:blipFill>
                          <a:blip r:embed="rId30" cstate="print"/>
                          <a:stretch>
                            <a:fillRect/>
                          </a:stretch>
                        </pic:blipFill>
                        <pic:spPr>
                          <a:xfrm>
                            <a:off x="0" y="0"/>
                            <a:ext cx="177190" cy="105575"/>
                          </a:xfrm>
                          <a:prstGeom prst="rect">
                            <a:avLst/>
                          </a:prstGeom>
                        </pic:spPr>
                      </pic:pic>
                    </a:graphicData>
                  </a:graphic>
                </wp:inline>
              </w:drawing>
            </w:r>
            <w:r>
              <w:rPr>
                <w:color w:val="414042"/>
                <w:sz w:val="13"/>
              </w:rPr>
            </w:r>
            <w:r>
              <w:rPr>
                <w:rFonts w:ascii="Times New Roman"/>
                <w:color w:val="414042"/>
                <w:position w:val="2"/>
                <w:sz w:val="13"/>
              </w:rPr>
              <w:t> </w:t>
            </w:r>
            <w:r>
              <w:rPr>
                <w:rFonts w:ascii="Times New Roman"/>
                <w:color w:val="414042"/>
                <w:spacing w:val="-16"/>
                <w:position w:val="2"/>
                <w:sz w:val="13"/>
              </w:rPr>
              <w:t> </w:t>
            </w:r>
            <w:r>
              <w:rPr>
                <w:color w:val="414042"/>
                <w:position w:val="2"/>
                <w:sz w:val="13"/>
              </w:rPr>
              <w:t>Chlorite-pyrite</w:t>
            </w:r>
            <w:r>
              <w:rPr>
                <w:color w:val="414042"/>
                <w:spacing w:val="-3"/>
                <w:position w:val="2"/>
                <w:sz w:val="13"/>
              </w:rPr>
              <w:t> </w:t>
            </w:r>
            <w:r>
              <w:rPr>
                <w:color w:val="414042"/>
                <w:position w:val="2"/>
                <w:sz w:val="13"/>
              </w:rPr>
              <w:t>stockwork</w:t>
            </w:r>
          </w:p>
        </w:tc>
        <w:tc>
          <w:tcPr>
            <w:tcW w:w="4971" w:type="dxa"/>
            <w:tcBorders>
              <w:left w:val="single" w:sz="6" w:space="0" w:color="231F20"/>
            </w:tcBorders>
          </w:tcPr>
          <w:p>
            <w:pPr>
              <w:pStyle w:val="TableParagraph"/>
              <w:spacing w:line="240" w:lineRule="auto" w:before="6"/>
              <w:rPr>
                <w:rFonts w:ascii="Times New Roman"/>
                <w:sz w:val="18"/>
              </w:rPr>
            </w:pPr>
          </w:p>
          <w:p>
            <w:pPr>
              <w:pStyle w:val="TableParagraph"/>
              <w:spacing w:line="240" w:lineRule="auto" w:before="0"/>
              <w:ind w:left="3492"/>
              <w:rPr>
                <w:b/>
                <w:sz w:val="16"/>
              </w:rPr>
            </w:pPr>
            <w:r>
              <w:rPr>
                <w:b/>
                <w:color w:val="231F20"/>
                <w:w w:val="105"/>
                <w:sz w:val="16"/>
              </w:rPr>
              <w:t>BIMODAL-MAFIC</w:t>
            </w:r>
          </w:p>
          <w:p>
            <w:pPr>
              <w:pStyle w:val="TableParagraph"/>
              <w:spacing w:line="211" w:lineRule="auto" w:before="112"/>
              <w:ind w:left="3578" w:right="266"/>
              <w:jc w:val="center"/>
              <w:rPr>
                <w:sz w:val="15"/>
              </w:rPr>
            </w:pPr>
            <w:r>
              <w:rPr>
                <w:color w:val="231F20"/>
                <w:sz w:val="15"/>
              </w:rPr>
              <w:t>Canadian grade</w:t>
            </w:r>
            <w:r>
              <w:rPr>
                <w:color w:val="231F20"/>
                <w:w w:val="99"/>
                <w:sz w:val="15"/>
              </w:rPr>
              <w:t> </w:t>
            </w:r>
            <w:r>
              <w:rPr>
                <w:color w:val="231F20"/>
                <w:sz w:val="15"/>
              </w:rPr>
              <w:t>and tonnage</w:t>
            </w:r>
          </w:p>
          <w:p>
            <w:pPr>
              <w:pStyle w:val="TableParagraph"/>
              <w:spacing w:line="161" w:lineRule="exact" w:before="23"/>
              <w:ind w:right="240"/>
              <w:jc w:val="right"/>
              <w:rPr>
                <w:sz w:val="14"/>
              </w:rPr>
            </w:pPr>
            <w:r>
              <w:rPr>
                <w:color w:val="231F20"/>
                <w:w w:val="110"/>
                <w:sz w:val="14"/>
              </w:rPr>
              <w:t>Average 6.3 Mt</w:t>
            </w:r>
          </w:p>
          <w:p>
            <w:pPr>
              <w:pStyle w:val="TableParagraph"/>
              <w:spacing w:line="161" w:lineRule="exact" w:before="0"/>
              <w:ind w:right="193"/>
              <w:jc w:val="right"/>
              <w:rPr>
                <w:sz w:val="14"/>
              </w:rPr>
            </w:pPr>
            <w:r>
              <w:rPr>
                <w:color w:val="231F20"/>
                <w:w w:val="110"/>
                <w:sz w:val="14"/>
              </w:rPr>
              <w:t>Median 113.9 Mt</w:t>
            </w:r>
          </w:p>
          <w:p>
            <w:pPr>
              <w:pStyle w:val="TableParagraph"/>
              <w:spacing w:line="167" w:lineRule="exact" w:before="19"/>
              <w:ind w:right="575"/>
              <w:jc w:val="right"/>
              <w:rPr>
                <w:sz w:val="15"/>
              </w:rPr>
            </w:pPr>
            <w:r>
              <w:rPr>
                <w:color w:val="231F20"/>
                <w:sz w:val="15"/>
              </w:rPr>
              <w:t>1.7% Cu</w:t>
            </w:r>
          </w:p>
          <w:p>
            <w:pPr>
              <w:pStyle w:val="TableParagraph"/>
              <w:tabs>
                <w:tab w:pos="1706" w:val="left" w:leader="none"/>
              </w:tabs>
              <w:spacing w:line="147" w:lineRule="exact" w:before="0"/>
              <w:ind w:right="592"/>
              <w:jc w:val="right"/>
              <w:rPr>
                <w:sz w:val="15"/>
              </w:rPr>
            </w:pPr>
            <w:r>
              <w:rPr>
                <w:color w:val="231F20"/>
                <w:sz w:val="13"/>
              </w:rPr>
              <w:t>Lobe-hyaloclastite</w:t>
              <w:tab/>
            </w:r>
            <w:r>
              <w:rPr>
                <w:color w:val="231F20"/>
                <w:position w:val="-1"/>
                <w:sz w:val="15"/>
              </w:rPr>
              <w:t>5.1%</w:t>
            </w:r>
            <w:r>
              <w:rPr>
                <w:color w:val="231F20"/>
                <w:spacing w:val="-1"/>
                <w:position w:val="-1"/>
                <w:sz w:val="15"/>
              </w:rPr>
              <w:t> </w:t>
            </w:r>
            <w:r>
              <w:rPr>
                <w:color w:val="231F20"/>
                <w:position w:val="-1"/>
                <w:sz w:val="15"/>
              </w:rPr>
              <w:t>Zn</w:t>
            </w:r>
          </w:p>
          <w:p>
            <w:pPr>
              <w:pStyle w:val="TableParagraph"/>
              <w:tabs>
                <w:tab w:pos="1706" w:val="left" w:leader="none"/>
              </w:tabs>
              <w:spacing w:line="170" w:lineRule="auto" w:before="1"/>
              <w:ind w:right="583"/>
              <w:jc w:val="right"/>
              <w:rPr>
                <w:sz w:val="15"/>
              </w:rPr>
            </w:pPr>
            <w:r>
              <w:rPr>
                <w:color w:val="231F20"/>
                <w:sz w:val="13"/>
              </w:rPr>
              <w:t>rhyolite</w:t>
              <w:tab/>
            </w:r>
            <w:r>
              <w:rPr>
                <w:color w:val="231F20"/>
                <w:position w:val="-5"/>
                <w:sz w:val="15"/>
              </w:rPr>
              <w:t>0.6%</w:t>
            </w:r>
            <w:r>
              <w:rPr>
                <w:color w:val="231F20"/>
                <w:spacing w:val="-1"/>
                <w:position w:val="-5"/>
                <w:sz w:val="15"/>
              </w:rPr>
              <w:t> </w:t>
            </w:r>
            <w:r>
              <w:rPr>
                <w:color w:val="231F20"/>
                <w:position w:val="-5"/>
                <w:sz w:val="15"/>
              </w:rPr>
              <w:t>Pb</w:t>
            </w:r>
          </w:p>
          <w:p>
            <w:pPr>
              <w:pStyle w:val="TableParagraph"/>
              <w:spacing w:line="172" w:lineRule="exact" w:before="24"/>
              <w:ind w:right="558"/>
              <w:jc w:val="right"/>
              <w:rPr>
                <w:sz w:val="15"/>
              </w:rPr>
            </w:pPr>
            <w:r>
              <w:rPr>
                <w:color w:val="231F20"/>
                <w:sz w:val="15"/>
              </w:rPr>
              <w:t>45 g/t Ag</w:t>
            </w:r>
          </w:p>
          <w:p>
            <w:pPr>
              <w:pStyle w:val="TableParagraph"/>
              <w:tabs>
                <w:tab w:pos="1632" w:val="left" w:leader="none"/>
              </w:tabs>
              <w:spacing w:line="225" w:lineRule="exact" w:before="0"/>
              <w:ind w:right="517"/>
              <w:jc w:val="right"/>
              <w:rPr>
                <w:sz w:val="15"/>
              </w:rPr>
            </w:pPr>
            <w:r>
              <w:rPr>
                <w:color w:val="231F20"/>
                <w:sz w:val="13"/>
              </w:rPr>
              <w:t>Pillowed mafic</w:t>
              <w:tab/>
            </w:r>
            <w:r>
              <w:rPr>
                <w:color w:val="231F20"/>
                <w:position w:val="6"/>
                <w:sz w:val="15"/>
              </w:rPr>
              <w:t>1.4 g/t</w:t>
            </w:r>
            <w:r>
              <w:rPr>
                <w:color w:val="231F20"/>
                <w:spacing w:val="-11"/>
                <w:position w:val="6"/>
                <w:sz w:val="15"/>
              </w:rPr>
              <w:t> </w:t>
            </w:r>
            <w:r>
              <w:rPr>
                <w:color w:val="231F20"/>
                <w:position w:val="6"/>
                <w:sz w:val="15"/>
              </w:rPr>
              <w:t>Au</w:t>
            </w:r>
          </w:p>
          <w:p>
            <w:pPr>
              <w:pStyle w:val="TableParagraph"/>
              <w:tabs>
                <w:tab w:pos="1612" w:val="left" w:leader="none"/>
              </w:tabs>
              <w:spacing w:line="235" w:lineRule="auto" w:before="0"/>
              <w:ind w:right="485"/>
              <w:jc w:val="right"/>
              <w:rPr>
                <w:sz w:val="13"/>
              </w:rPr>
            </w:pPr>
            <w:r>
              <w:rPr>
                <w:color w:val="231F20"/>
                <w:sz w:val="13"/>
              </w:rPr>
              <w:t>flows</w:t>
              <w:tab/>
            </w:r>
            <w:r>
              <w:rPr>
                <w:color w:val="231F20"/>
                <w:position w:val="-3"/>
                <w:sz w:val="13"/>
                <w:u w:val="single" w:color="231F20"/>
              </w:rPr>
              <w:t>200 m</w:t>
            </w:r>
            <w:r>
              <w:rPr>
                <w:color w:val="231F20"/>
                <w:spacing w:val="7"/>
                <w:position w:val="-3"/>
                <w:sz w:val="13"/>
                <w:u w:val="single" w:color="231F20"/>
              </w:rPr>
              <w:t> </w:t>
            </w:r>
          </w:p>
          <w:p>
            <w:pPr>
              <w:pStyle w:val="TableParagraph"/>
              <w:spacing w:line="240" w:lineRule="auto" w:before="8"/>
              <w:rPr>
                <w:rFonts w:ascii="Times New Roman"/>
                <w:sz w:val="16"/>
              </w:rPr>
            </w:pPr>
          </w:p>
          <w:p>
            <w:pPr>
              <w:pStyle w:val="TableParagraph"/>
              <w:tabs>
                <w:tab w:pos="1686" w:val="left" w:leader="none"/>
                <w:tab w:pos="3434" w:val="left" w:leader="none"/>
              </w:tabs>
              <w:spacing w:line="172" w:lineRule="auto" w:before="0"/>
              <w:ind w:left="1686" w:right="-15" w:hanging="1333"/>
              <w:rPr>
                <w:sz w:val="13"/>
              </w:rPr>
            </w:pPr>
            <w:r>
              <w:rPr>
                <w:color w:val="231F20"/>
                <w:w w:val="105"/>
                <w:sz w:val="13"/>
              </w:rPr>
              <w:t>Sericite-chlorite</w:t>
              <w:tab/>
            </w:r>
            <w:r>
              <w:rPr>
                <w:color w:val="231F20"/>
                <w:w w:val="105"/>
                <w:position w:val="3"/>
                <w:sz w:val="13"/>
              </w:rPr>
              <w:t>Massive</w:t>
            </w:r>
            <w:r>
              <w:rPr>
                <w:color w:val="231F20"/>
                <w:spacing w:val="2"/>
                <w:w w:val="105"/>
                <w:position w:val="3"/>
                <w:sz w:val="13"/>
              </w:rPr>
              <w:t> </w:t>
            </w:r>
            <w:r>
              <w:rPr>
                <w:color w:val="231F20"/>
                <w:w w:val="105"/>
                <w:position w:val="3"/>
                <w:sz w:val="13"/>
              </w:rPr>
              <w:t>magnetite-</w:t>
              <w:tab/>
            </w:r>
            <w:r>
              <w:rPr>
                <w:color w:val="231F20"/>
                <w:w w:val="105"/>
                <w:position w:val="1"/>
                <w:sz w:val="13"/>
              </w:rPr>
              <w:t>Sulphidic tuffite/exhalite </w:t>
            </w:r>
            <w:r>
              <w:rPr>
                <w:color w:val="231F20"/>
                <w:w w:val="105"/>
                <w:position w:val="4"/>
                <w:sz w:val="13"/>
              </w:rPr>
              <w:t>pyrrhotite-chalcopyrite</w:t>
              <w:tab/>
            </w:r>
            <w:r>
              <w:rPr>
                <w:color w:val="231F20"/>
                <w:w w:val="105"/>
                <w:sz w:val="13"/>
              </w:rPr>
              <w:t>Massive</w:t>
            </w:r>
            <w:r>
              <w:rPr>
                <w:color w:val="231F20"/>
                <w:spacing w:val="11"/>
                <w:w w:val="105"/>
                <w:sz w:val="13"/>
              </w:rPr>
              <w:t> </w:t>
            </w:r>
            <w:r>
              <w:rPr>
                <w:color w:val="231F20"/>
                <w:w w:val="105"/>
                <w:sz w:val="13"/>
              </w:rPr>
              <w:t>pyrite-sphalerite</w:t>
            </w:r>
          </w:p>
          <w:p>
            <w:pPr>
              <w:pStyle w:val="TableParagraph"/>
              <w:tabs>
                <w:tab w:pos="1688" w:val="left" w:leader="none"/>
                <w:tab w:pos="3434" w:val="left" w:leader="none"/>
              </w:tabs>
              <w:spacing w:line="136" w:lineRule="exact" w:before="0"/>
              <w:ind w:left="344"/>
              <w:rPr>
                <w:sz w:val="13"/>
              </w:rPr>
            </w:pPr>
            <w:r>
              <w:rPr>
                <w:color w:val="231F20"/>
                <w:w w:val="105"/>
                <w:position w:val="7"/>
                <w:sz w:val="13"/>
              </w:rPr>
              <w:t>Quartz-chlorite</w:t>
              <w:tab/>
            </w:r>
            <w:r>
              <w:rPr>
                <w:color w:val="231F20"/>
                <w:w w:val="105"/>
                <w:sz w:val="13"/>
              </w:rPr>
              <w:t>Pyrrhotite-pyrite-</w:t>
              <w:tab/>
            </w:r>
            <w:r>
              <w:rPr>
                <w:color w:val="231F20"/>
                <w:w w:val="105"/>
                <w:position w:val="5"/>
                <w:sz w:val="13"/>
              </w:rPr>
              <w:t>-chalcopyrite</w:t>
            </w:r>
          </w:p>
          <w:p>
            <w:pPr>
              <w:pStyle w:val="TableParagraph"/>
              <w:tabs>
                <w:tab w:pos="1352" w:val="left" w:leader="none"/>
                <w:tab w:pos="3113" w:val="left" w:leader="none"/>
              </w:tabs>
              <w:spacing w:line="110" w:lineRule="exact" w:before="0"/>
              <w:ind w:right="570"/>
              <w:jc w:val="right"/>
              <w:rPr>
                <w:sz w:val="13"/>
              </w:rPr>
            </w:pPr>
            <w:r>
              <w:rPr>
                <w:color w:val="231F20"/>
                <w:w w:val="105"/>
                <w:position w:val="-1"/>
                <w:sz w:val="13"/>
              </w:rPr>
              <w:t>Chlorite-sulphide</w:t>
              <w:tab/>
            </w:r>
            <w:r>
              <w:rPr>
                <w:color w:val="231F20"/>
                <w:w w:val="105"/>
                <w:sz w:val="13"/>
              </w:rPr>
              <w:t>chalcopyrite</w:t>
            </w:r>
            <w:r>
              <w:rPr>
                <w:color w:val="231F20"/>
                <w:spacing w:val="2"/>
                <w:w w:val="105"/>
                <w:sz w:val="13"/>
              </w:rPr>
              <w:t> </w:t>
            </w:r>
            <w:r>
              <w:rPr>
                <w:color w:val="231F20"/>
                <w:w w:val="105"/>
                <w:sz w:val="13"/>
              </w:rPr>
              <w:t>stockwork</w:t>
              <w:tab/>
            </w:r>
            <w:r>
              <w:rPr>
                <w:color w:val="231F20"/>
                <w:w w:val="105"/>
                <w:position w:val="4"/>
                <w:sz w:val="13"/>
              </w:rPr>
              <w:t>Massive</w:t>
            </w:r>
            <w:r>
              <w:rPr>
                <w:color w:val="231F20"/>
                <w:spacing w:val="7"/>
                <w:w w:val="105"/>
                <w:position w:val="4"/>
                <w:sz w:val="13"/>
              </w:rPr>
              <w:t> </w:t>
            </w:r>
            <w:r>
              <w:rPr>
                <w:color w:val="231F20"/>
                <w:w w:val="105"/>
                <w:position w:val="4"/>
                <w:sz w:val="13"/>
              </w:rPr>
              <w:t>pyrite-</w:t>
            </w:r>
          </w:p>
          <w:p>
            <w:pPr>
              <w:pStyle w:val="TableParagraph"/>
              <w:tabs>
                <w:tab w:pos="3412" w:val="left" w:leader="none"/>
              </w:tabs>
              <w:spacing w:line="93" w:lineRule="exact" w:before="0"/>
              <w:ind w:right="140"/>
              <w:jc w:val="right"/>
              <w:rPr>
                <w:sz w:val="13"/>
              </w:rPr>
            </w:pPr>
            <w:r>
              <w:rPr>
                <w:position w:val="1"/>
              </w:rPr>
              <w:drawing>
                <wp:inline distT="0" distB="0" distL="0" distR="0">
                  <wp:extent cx="175839" cy="104775"/>
                  <wp:effectExtent l="0" t="0" r="0" b="0"/>
                  <wp:docPr id="9" name="image22.png" descr=""/>
                  <wp:cNvGraphicFramePr>
                    <a:graphicFrameLocks noChangeAspect="1"/>
                  </wp:cNvGraphicFramePr>
                  <a:graphic>
                    <a:graphicData uri="http://schemas.openxmlformats.org/drawingml/2006/picture">
                      <pic:pic>
                        <pic:nvPicPr>
                          <pic:cNvPr id="10" name="image22.png"/>
                          <pic:cNvPicPr/>
                        </pic:nvPicPr>
                        <pic:blipFill>
                          <a:blip r:embed="rId31" cstate="print"/>
                          <a:stretch>
                            <a:fillRect/>
                          </a:stretch>
                        </pic:blipFill>
                        <pic:spPr>
                          <a:xfrm>
                            <a:off x="0" y="0"/>
                            <a:ext cx="175839" cy="104775"/>
                          </a:xfrm>
                          <a:prstGeom prst="rect">
                            <a:avLst/>
                          </a:prstGeom>
                        </pic:spPr>
                      </pic:pic>
                    </a:graphicData>
                  </a:graphic>
                </wp:inline>
              </w:drawing>
            </w:r>
            <w:r>
              <w:rPr>
                <w:position w:val="1"/>
              </w:rPr>
            </w:r>
            <w:r>
              <w:rPr>
                <w:rFonts w:ascii="Times New Roman"/>
                <w:sz w:val="20"/>
              </w:rPr>
              <w:tab/>
            </w:r>
            <w:r>
              <w:rPr>
                <w:rFonts w:ascii="Times New Roman"/>
                <w:spacing w:val="-15"/>
                <w:sz w:val="20"/>
              </w:rPr>
              <w:t> </w:t>
            </w:r>
            <w:r>
              <w:rPr>
                <w:color w:val="231F20"/>
                <w:w w:val="105"/>
                <w:sz w:val="13"/>
              </w:rPr>
              <w:t>pyrrhotite-chalcopyrite</w:t>
            </w:r>
          </w:p>
        </w:tc>
      </w:tr>
      <w:tr>
        <w:trPr>
          <w:trHeight w:val="3144" w:hRule="atLeast"/>
        </w:trPr>
        <w:tc>
          <w:tcPr>
            <w:tcW w:w="5075" w:type="dxa"/>
            <w:tcBorders>
              <w:right w:val="single" w:sz="6" w:space="0" w:color="231F20"/>
            </w:tcBorders>
          </w:tcPr>
          <w:p>
            <w:pPr>
              <w:pStyle w:val="TableParagraph"/>
              <w:spacing w:line="153" w:lineRule="exact" w:before="54"/>
              <w:ind w:right="3"/>
              <w:jc w:val="right"/>
              <w:rPr>
                <w:b/>
                <w:sz w:val="16"/>
              </w:rPr>
            </w:pPr>
            <w:r>
              <w:rPr>
                <w:b/>
                <w:color w:val="231F20"/>
                <w:w w:val="105"/>
                <w:sz w:val="16"/>
              </w:rPr>
              <w:t>BIMODAL-FELSIC</w:t>
            </w:r>
          </w:p>
          <w:p>
            <w:pPr>
              <w:pStyle w:val="TableParagraph"/>
              <w:tabs>
                <w:tab w:pos="2837" w:val="left" w:leader="none"/>
              </w:tabs>
              <w:spacing w:line="177" w:lineRule="auto" w:before="0"/>
              <w:ind w:left="394"/>
              <w:rPr>
                <w:sz w:val="13"/>
              </w:rPr>
            </w:pPr>
            <w:r>
              <w:rPr>
                <w:color w:val="231F20"/>
                <w:sz w:val="13"/>
              </w:rPr>
              <w:t>Flows or</w:t>
            </w:r>
            <w:r>
              <w:rPr>
                <w:color w:val="231F20"/>
                <w:spacing w:val="0"/>
                <w:sz w:val="13"/>
              </w:rPr>
              <w:t> </w:t>
            </w:r>
            <w:r>
              <w:rPr>
                <w:color w:val="231F20"/>
                <w:sz w:val="13"/>
              </w:rPr>
              <w:t>volcaniclastic strata</w:t>
              <w:tab/>
            </w:r>
            <w:r>
              <w:rPr>
                <w:color w:val="231F20"/>
                <w:position w:val="-3"/>
                <w:sz w:val="13"/>
              </w:rPr>
              <w:t>100</w:t>
            </w:r>
            <w:r>
              <w:rPr>
                <w:color w:val="231F20"/>
                <w:spacing w:val="-1"/>
                <w:position w:val="-3"/>
                <w:sz w:val="13"/>
              </w:rPr>
              <w:t> </w:t>
            </w:r>
            <w:r>
              <w:rPr>
                <w:color w:val="231F20"/>
                <w:position w:val="-3"/>
                <w:sz w:val="13"/>
              </w:rPr>
              <w:t>m</w:t>
            </w:r>
          </w:p>
          <w:p>
            <w:pPr>
              <w:pStyle w:val="TableParagraph"/>
              <w:spacing w:line="211" w:lineRule="auto" w:before="66"/>
              <w:ind w:left="3706" w:right="242"/>
              <w:jc w:val="center"/>
              <w:rPr>
                <w:sz w:val="15"/>
              </w:rPr>
            </w:pPr>
            <w:r>
              <w:rPr>
                <w:color w:val="231F20"/>
                <w:sz w:val="15"/>
              </w:rPr>
              <w:t>Canadian grade</w:t>
            </w:r>
            <w:r>
              <w:rPr>
                <w:color w:val="231F20"/>
                <w:w w:val="99"/>
                <w:sz w:val="15"/>
              </w:rPr>
              <w:t> </w:t>
            </w:r>
            <w:r>
              <w:rPr>
                <w:color w:val="231F20"/>
                <w:sz w:val="15"/>
              </w:rPr>
              <w:t>and tonnage</w:t>
            </w:r>
          </w:p>
          <w:p>
            <w:pPr>
              <w:pStyle w:val="TableParagraph"/>
              <w:spacing w:line="240" w:lineRule="auto" w:before="77"/>
              <w:ind w:right="290"/>
              <w:jc w:val="right"/>
              <w:rPr>
                <w:sz w:val="14"/>
              </w:rPr>
            </w:pPr>
            <w:r>
              <w:rPr>
                <w:color w:val="231F20"/>
                <w:w w:val="105"/>
                <w:sz w:val="14"/>
              </w:rPr>
              <w:t>Average 5.5 Mt</w:t>
            </w:r>
          </w:p>
          <w:p>
            <w:pPr>
              <w:pStyle w:val="TableParagraph"/>
              <w:spacing w:line="240" w:lineRule="auto" w:before="4"/>
              <w:ind w:right="281"/>
              <w:jc w:val="right"/>
              <w:rPr>
                <w:sz w:val="14"/>
              </w:rPr>
            </w:pPr>
            <w:r>
              <w:rPr>
                <w:color w:val="231F20"/>
                <w:w w:val="105"/>
                <w:sz w:val="14"/>
              </w:rPr>
              <w:t>Median 14.2 Mt</w:t>
            </w:r>
          </w:p>
          <w:p>
            <w:pPr>
              <w:pStyle w:val="TableParagraph"/>
              <w:spacing w:line="170" w:lineRule="exact" w:before="51"/>
              <w:ind w:right="598"/>
              <w:jc w:val="right"/>
              <w:rPr>
                <w:sz w:val="15"/>
              </w:rPr>
            </w:pPr>
            <w:r>
              <w:rPr>
                <w:color w:val="231F20"/>
                <w:sz w:val="15"/>
              </w:rPr>
              <w:t>1.3% Cu</w:t>
            </w:r>
          </w:p>
          <w:p>
            <w:pPr>
              <w:pStyle w:val="TableParagraph"/>
              <w:spacing w:line="168" w:lineRule="exact" w:before="0"/>
              <w:ind w:right="615"/>
              <w:jc w:val="right"/>
              <w:rPr>
                <w:sz w:val="15"/>
              </w:rPr>
            </w:pPr>
            <w:r>
              <w:rPr>
                <w:color w:val="231F20"/>
                <w:sz w:val="15"/>
              </w:rPr>
              <w:t>6.1% Zn</w:t>
            </w:r>
          </w:p>
          <w:p>
            <w:pPr>
              <w:pStyle w:val="TableParagraph"/>
              <w:spacing w:line="168" w:lineRule="exact" w:before="0"/>
              <w:ind w:right="607"/>
              <w:jc w:val="right"/>
              <w:rPr>
                <w:sz w:val="15"/>
              </w:rPr>
            </w:pPr>
            <w:r>
              <w:rPr>
                <w:color w:val="231F20"/>
                <w:sz w:val="15"/>
              </w:rPr>
              <w:t>1.8% Pb</w:t>
            </w:r>
          </w:p>
          <w:p>
            <w:pPr>
              <w:pStyle w:val="TableParagraph"/>
              <w:spacing w:line="155" w:lineRule="exact" w:before="0"/>
              <w:ind w:right="498"/>
              <w:jc w:val="right"/>
              <w:rPr>
                <w:sz w:val="15"/>
              </w:rPr>
            </w:pPr>
            <w:r>
              <w:rPr>
                <w:color w:val="231F20"/>
                <w:sz w:val="15"/>
              </w:rPr>
              <w:t>123 g/t Ag</w:t>
            </w:r>
          </w:p>
          <w:p>
            <w:pPr>
              <w:pStyle w:val="TableParagraph"/>
              <w:tabs>
                <w:tab w:pos="2033" w:val="left" w:leader="none"/>
              </w:tabs>
              <w:spacing w:line="180" w:lineRule="auto" w:before="9"/>
              <w:ind w:right="540"/>
              <w:jc w:val="right"/>
              <w:rPr>
                <w:sz w:val="15"/>
              </w:rPr>
            </w:pPr>
            <w:r>
              <w:rPr>
                <w:color w:val="231F20"/>
                <w:sz w:val="13"/>
              </w:rPr>
              <w:t>Felsic flow complex</w:t>
              <w:tab/>
            </w:r>
            <w:r>
              <w:rPr>
                <w:color w:val="231F20"/>
                <w:position w:val="-3"/>
                <w:sz w:val="15"/>
              </w:rPr>
              <w:t>2.2 g/t</w:t>
            </w:r>
            <w:r>
              <w:rPr>
                <w:color w:val="231F20"/>
                <w:spacing w:val="-11"/>
                <w:position w:val="-3"/>
                <w:sz w:val="15"/>
              </w:rPr>
              <w:t> </w:t>
            </w:r>
            <w:r>
              <w:rPr>
                <w:color w:val="231F20"/>
                <w:position w:val="-3"/>
                <w:sz w:val="15"/>
              </w:rPr>
              <w:t>Au</w:t>
            </w:r>
          </w:p>
          <w:p>
            <w:pPr>
              <w:pStyle w:val="TableParagraph"/>
              <w:spacing w:line="240" w:lineRule="auto" w:before="4"/>
              <w:rPr>
                <w:rFonts w:ascii="Times New Roman"/>
                <w:sz w:val="19"/>
              </w:rPr>
            </w:pPr>
          </w:p>
          <w:p>
            <w:pPr>
              <w:pStyle w:val="TableParagraph"/>
              <w:tabs>
                <w:tab w:pos="2190" w:val="left" w:leader="none"/>
                <w:tab w:pos="3890" w:val="left" w:leader="none"/>
              </w:tabs>
              <w:spacing w:line="127" w:lineRule="auto" w:before="0"/>
              <w:ind w:left="2190" w:right="214" w:hanging="1703"/>
              <w:rPr>
                <w:sz w:val="13"/>
              </w:rPr>
            </w:pPr>
            <w:r>
              <w:rPr>
                <w:color w:val="231F20"/>
                <w:position w:val="1"/>
                <w:sz w:val="13"/>
              </w:rPr>
              <w:t>Sericite-quartz  </w:t>
            </w:r>
            <w:r>
              <w:rPr>
                <w:color w:val="231F20"/>
                <w:spacing w:val="15"/>
                <w:position w:val="1"/>
                <w:sz w:val="13"/>
              </w:rPr>
              <w:t> </w:t>
            </w:r>
            <w:r>
              <w:rPr>
                <w:color w:val="231F20"/>
                <w:sz w:val="12"/>
              </w:rPr>
              <w:t>Detrital</w:t>
              <w:tab/>
            </w:r>
            <w:r>
              <w:rPr>
                <w:color w:val="231F20"/>
                <w:w w:val="95"/>
                <w:position w:val="5"/>
                <w:sz w:val="13"/>
              </w:rPr>
              <w:t>Pyrite-sphalerite-galena</w:t>
              <w:tab/>
            </w:r>
            <w:r>
              <w:rPr>
                <w:color w:val="231F20"/>
                <w:position w:val="-3"/>
                <w:sz w:val="13"/>
              </w:rPr>
              <w:drawing>
                <wp:inline distT="0" distB="0" distL="0" distR="0">
                  <wp:extent cx="177088" cy="105625"/>
                  <wp:effectExtent l="0" t="0" r="0" b="0"/>
                  <wp:docPr id="11" name="image23.png" descr=""/>
                  <wp:cNvGraphicFramePr>
                    <a:graphicFrameLocks noChangeAspect="1"/>
                  </wp:cNvGraphicFramePr>
                  <a:graphic>
                    <a:graphicData uri="http://schemas.openxmlformats.org/drawingml/2006/picture">
                      <pic:pic>
                        <pic:nvPicPr>
                          <pic:cNvPr id="12" name="image23.png"/>
                          <pic:cNvPicPr/>
                        </pic:nvPicPr>
                        <pic:blipFill>
                          <a:blip r:embed="rId32" cstate="print"/>
                          <a:stretch>
                            <a:fillRect/>
                          </a:stretch>
                        </pic:blipFill>
                        <pic:spPr>
                          <a:xfrm>
                            <a:off x="0" y="0"/>
                            <a:ext cx="177088" cy="105625"/>
                          </a:xfrm>
                          <a:prstGeom prst="rect">
                            <a:avLst/>
                          </a:prstGeom>
                        </pic:spPr>
                      </pic:pic>
                    </a:graphicData>
                  </a:graphic>
                </wp:inline>
              </w:drawing>
            </w:r>
            <w:r>
              <w:rPr>
                <w:color w:val="231F20"/>
                <w:position w:val="-3"/>
                <w:sz w:val="13"/>
              </w:rPr>
            </w:r>
            <w:r>
              <w:rPr>
                <w:rFonts w:ascii="Times New Roman"/>
                <w:color w:val="231F20"/>
                <w:spacing w:val="15"/>
                <w:position w:val="1"/>
                <w:sz w:val="13"/>
              </w:rPr>
              <w:t> </w:t>
            </w:r>
            <w:r>
              <w:rPr>
                <w:color w:val="231F20"/>
                <w:position w:val="1"/>
                <w:sz w:val="13"/>
              </w:rPr>
              <w:t>Barite</w:t>
            </w:r>
            <w:r>
              <w:rPr>
                <w:color w:val="231F20"/>
                <w:spacing w:val="-3"/>
                <w:position w:val="1"/>
                <w:sz w:val="13"/>
              </w:rPr>
              <w:t> </w:t>
            </w:r>
            <w:r>
              <w:rPr>
                <w:color w:val="231F20"/>
                <w:position w:val="1"/>
                <w:sz w:val="13"/>
              </w:rPr>
              <w:t>(Au) </w:t>
            </w:r>
            <w:r>
              <w:rPr>
                <w:color w:val="231F20"/>
                <w:sz w:val="13"/>
              </w:rPr>
              <w:t>tetrahedrite-Ag-Au</w:t>
            </w:r>
          </w:p>
          <w:p>
            <w:pPr>
              <w:pStyle w:val="TableParagraph"/>
              <w:tabs>
                <w:tab w:pos="2199" w:val="left" w:leader="none"/>
                <w:tab w:pos="3890" w:val="left" w:leader="none"/>
              </w:tabs>
              <w:spacing w:line="168" w:lineRule="exact" w:before="2"/>
              <w:ind w:left="489"/>
              <w:rPr>
                <w:sz w:val="13"/>
              </w:rPr>
            </w:pPr>
            <w:r>
              <w:rPr>
                <w:color w:val="231F20"/>
                <w:sz w:val="13"/>
              </w:rPr>
              <w:t>Chlorite-sericite</w:t>
              <w:tab/>
            </w:r>
            <w:r>
              <w:rPr>
                <w:color w:val="231F20"/>
                <w:w w:val="95"/>
                <w:position w:val="-5"/>
                <w:sz w:val="13"/>
              </w:rPr>
              <w:t>Pyrite-sphalerite-galena</w:t>
              <w:tab/>
            </w:r>
            <w:r>
              <w:rPr>
                <w:color w:val="231F20"/>
                <w:position w:val="-3"/>
                <w:sz w:val="13"/>
              </w:rPr>
              <w:drawing>
                <wp:inline distT="0" distB="0" distL="0" distR="0">
                  <wp:extent cx="177088" cy="105638"/>
                  <wp:effectExtent l="0" t="0" r="0" b="0"/>
                  <wp:docPr id="13" name="image24.png" descr=""/>
                  <wp:cNvGraphicFramePr>
                    <a:graphicFrameLocks noChangeAspect="1"/>
                  </wp:cNvGraphicFramePr>
                  <a:graphic>
                    <a:graphicData uri="http://schemas.openxmlformats.org/drawingml/2006/picture">
                      <pic:pic>
                        <pic:nvPicPr>
                          <pic:cNvPr id="14" name="image24.png"/>
                          <pic:cNvPicPr/>
                        </pic:nvPicPr>
                        <pic:blipFill>
                          <a:blip r:embed="rId33" cstate="print"/>
                          <a:stretch>
                            <a:fillRect/>
                          </a:stretch>
                        </pic:blipFill>
                        <pic:spPr>
                          <a:xfrm>
                            <a:off x="0" y="0"/>
                            <a:ext cx="177088" cy="105638"/>
                          </a:xfrm>
                          <a:prstGeom prst="rect">
                            <a:avLst/>
                          </a:prstGeom>
                        </pic:spPr>
                      </pic:pic>
                    </a:graphicData>
                  </a:graphic>
                </wp:inline>
              </w:drawing>
            </w:r>
            <w:r>
              <w:rPr>
                <w:color w:val="231F20"/>
                <w:position w:val="-3"/>
                <w:sz w:val="13"/>
              </w:rPr>
            </w:r>
            <w:r>
              <w:rPr>
                <w:rFonts w:ascii="Times New Roman"/>
                <w:color w:val="231F20"/>
                <w:sz w:val="13"/>
              </w:rPr>
              <w:t> </w:t>
            </w:r>
            <w:r>
              <w:rPr>
                <w:rFonts w:ascii="Times New Roman"/>
                <w:color w:val="231F20"/>
                <w:spacing w:val="-15"/>
                <w:sz w:val="13"/>
              </w:rPr>
              <w:t> </w:t>
            </w:r>
            <w:r>
              <w:rPr>
                <w:color w:val="231F20"/>
                <w:sz w:val="13"/>
              </w:rPr>
              <w:t>Carbonate/</w:t>
            </w:r>
          </w:p>
          <w:p>
            <w:pPr>
              <w:pStyle w:val="TableParagraph"/>
              <w:spacing w:line="79" w:lineRule="exact" w:before="0"/>
              <w:ind w:right="376"/>
              <w:jc w:val="right"/>
              <w:rPr>
                <w:sz w:val="13"/>
              </w:rPr>
            </w:pPr>
            <w:r>
              <w:rPr>
                <w:color w:val="231F20"/>
                <w:w w:val="95"/>
                <w:sz w:val="13"/>
              </w:rPr>
              <w:t>gypsum</w:t>
            </w:r>
          </w:p>
          <w:p>
            <w:pPr>
              <w:pStyle w:val="TableParagraph"/>
              <w:tabs>
                <w:tab w:pos="2178" w:val="left" w:leader="none"/>
              </w:tabs>
              <w:spacing w:line="176" w:lineRule="exact" w:before="0"/>
              <w:ind w:left="499"/>
              <w:rPr>
                <w:sz w:val="13"/>
              </w:rPr>
            </w:pPr>
            <w:r>
              <w:rPr>
                <w:color w:val="231F20"/>
                <w:position w:val="5"/>
                <w:sz w:val="13"/>
              </w:rPr>
              <w:t>Quartz-chlorite</w:t>
              <w:tab/>
            </w:r>
            <w:r>
              <w:rPr>
                <w:color w:val="231F20"/>
                <w:sz w:val="13"/>
              </w:rPr>
              <w:t>Pyrite-sphalerite-chalcopyrite</w:t>
            </w:r>
          </w:p>
          <w:p>
            <w:pPr>
              <w:pStyle w:val="TableParagraph"/>
              <w:tabs>
                <w:tab w:pos="2175" w:val="left" w:leader="none"/>
              </w:tabs>
              <w:spacing w:line="147" w:lineRule="exact" w:before="25"/>
              <w:ind w:left="498"/>
              <w:rPr>
                <w:sz w:val="13"/>
              </w:rPr>
            </w:pPr>
            <w:r>
              <w:rPr>
                <w:color w:val="231F20"/>
                <w:position w:val="3"/>
                <w:sz w:val="13"/>
              </w:rPr>
              <w:t>Chalcopyrite-</w:t>
              <w:tab/>
            </w:r>
            <w:r>
              <w:rPr>
                <w:color w:val="231F20"/>
                <w:sz w:val="13"/>
              </w:rPr>
              <w:t>Chalcopyrite-pyrrhotite-pyrite</w:t>
            </w:r>
          </w:p>
          <w:p>
            <w:pPr>
              <w:pStyle w:val="TableParagraph"/>
              <w:spacing w:line="90" w:lineRule="exact" w:before="0"/>
              <w:ind w:left="498"/>
              <w:rPr>
                <w:sz w:val="13"/>
              </w:rPr>
            </w:pPr>
            <w:r>
              <w:rPr>
                <w:color w:val="231F20"/>
                <w:sz w:val="13"/>
              </w:rPr>
              <w:t>pyrite veins</w:t>
            </w:r>
          </w:p>
        </w:tc>
        <w:tc>
          <w:tcPr>
            <w:tcW w:w="4971" w:type="dxa"/>
            <w:tcBorders>
              <w:left w:val="single" w:sz="6" w:space="0" w:color="231F20"/>
            </w:tcBorders>
          </w:tcPr>
          <w:p>
            <w:pPr>
              <w:pStyle w:val="TableParagraph"/>
              <w:tabs>
                <w:tab w:pos="3849" w:val="left" w:leader="none"/>
              </w:tabs>
              <w:spacing w:line="219" w:lineRule="exact" w:before="115"/>
              <w:ind w:left="458"/>
              <w:rPr>
                <w:b/>
                <w:sz w:val="16"/>
              </w:rPr>
            </w:pPr>
            <w:r>
              <w:rPr>
                <w:color w:val="231F20"/>
                <w:w w:val="105"/>
                <w:sz w:val="13"/>
              </w:rPr>
              <w:t>Shale/argillite</w:t>
              <w:tab/>
            </w:r>
            <w:r>
              <w:rPr>
                <w:b/>
                <w:color w:val="231F20"/>
                <w:w w:val="105"/>
                <w:position w:val="8"/>
                <w:sz w:val="16"/>
              </w:rPr>
              <w:t>HYBRID</w:t>
            </w:r>
          </w:p>
          <w:p>
            <w:pPr>
              <w:pStyle w:val="TableParagraph"/>
              <w:spacing w:line="146" w:lineRule="exact" w:before="0"/>
              <w:ind w:right="55"/>
              <w:jc w:val="right"/>
              <w:rPr>
                <w:b/>
                <w:sz w:val="16"/>
              </w:rPr>
            </w:pPr>
            <w:r>
              <w:rPr>
                <w:b/>
                <w:color w:val="231F20"/>
                <w:w w:val="105"/>
                <w:sz w:val="16"/>
              </w:rPr>
              <w:t>BIMODAL-FELSIC</w:t>
            </w:r>
          </w:p>
          <w:p>
            <w:pPr>
              <w:pStyle w:val="TableParagraph"/>
              <w:spacing w:line="240" w:lineRule="auto" w:before="0"/>
              <w:rPr>
                <w:rFonts w:ascii="Times New Roman"/>
                <w:sz w:val="18"/>
              </w:rPr>
            </w:pPr>
          </w:p>
          <w:p>
            <w:pPr>
              <w:pStyle w:val="TableParagraph"/>
              <w:spacing w:line="240" w:lineRule="auto" w:before="0"/>
              <w:rPr>
                <w:rFonts w:ascii="Times New Roman"/>
                <w:sz w:val="18"/>
              </w:rPr>
            </w:pPr>
          </w:p>
          <w:p>
            <w:pPr>
              <w:pStyle w:val="TableParagraph"/>
              <w:spacing w:line="240" w:lineRule="auto" w:before="0"/>
              <w:rPr>
                <w:rFonts w:ascii="Times New Roman"/>
                <w:sz w:val="18"/>
              </w:rPr>
            </w:pPr>
          </w:p>
          <w:p>
            <w:pPr>
              <w:pStyle w:val="TableParagraph"/>
              <w:spacing w:line="240" w:lineRule="auto" w:before="11"/>
              <w:rPr>
                <w:rFonts w:ascii="Times New Roman"/>
                <w:sz w:val="18"/>
              </w:rPr>
            </w:pPr>
          </w:p>
          <w:p>
            <w:pPr>
              <w:pStyle w:val="TableParagraph"/>
              <w:tabs>
                <w:tab w:pos="3955" w:val="left" w:leader="none"/>
              </w:tabs>
              <w:spacing w:line="144" w:lineRule="auto" w:before="0"/>
              <w:ind w:left="289"/>
              <w:rPr>
                <w:sz w:val="13"/>
              </w:rPr>
            </w:pPr>
            <w:r>
              <w:rPr>
                <w:color w:val="231F20"/>
                <w:sz w:val="13"/>
              </w:rPr>
              <w:t>Felsic</w:t>
              <w:tab/>
            </w:r>
            <w:r>
              <w:rPr>
                <w:color w:val="231F20"/>
                <w:position w:val="-8"/>
                <w:sz w:val="13"/>
              </w:rPr>
              <w:t>200</w:t>
            </w:r>
            <w:r>
              <w:rPr>
                <w:color w:val="231F20"/>
                <w:spacing w:val="-1"/>
                <w:position w:val="-8"/>
                <w:sz w:val="13"/>
              </w:rPr>
              <w:t> </w:t>
            </w:r>
            <w:r>
              <w:rPr>
                <w:color w:val="231F20"/>
                <w:position w:val="-8"/>
                <w:sz w:val="13"/>
              </w:rPr>
              <w:t>m</w:t>
            </w:r>
          </w:p>
          <w:p>
            <w:pPr>
              <w:pStyle w:val="TableParagraph"/>
              <w:spacing w:line="103" w:lineRule="exact" w:before="0"/>
              <w:ind w:left="289"/>
              <w:rPr>
                <w:sz w:val="13"/>
              </w:rPr>
            </w:pPr>
            <w:r>
              <w:rPr>
                <w:color w:val="231F20"/>
                <w:sz w:val="13"/>
              </w:rPr>
              <w:t>clastic</w:t>
            </w:r>
          </w:p>
          <w:p>
            <w:pPr>
              <w:pStyle w:val="TableParagraph"/>
              <w:spacing w:line="240" w:lineRule="auto" w:before="0"/>
              <w:rPr>
                <w:rFonts w:ascii="Times New Roman"/>
                <w:sz w:val="14"/>
              </w:rPr>
            </w:pPr>
          </w:p>
          <w:p>
            <w:pPr>
              <w:pStyle w:val="TableParagraph"/>
              <w:spacing w:line="240" w:lineRule="auto" w:before="4"/>
              <w:rPr>
                <w:rFonts w:ascii="Times New Roman"/>
                <w:sz w:val="13"/>
              </w:rPr>
            </w:pPr>
          </w:p>
          <w:p>
            <w:pPr>
              <w:pStyle w:val="TableParagraph"/>
              <w:spacing w:line="211" w:lineRule="auto" w:before="0"/>
              <w:ind w:left="1112" w:right="3265" w:hanging="23"/>
              <w:rPr>
                <w:sz w:val="13"/>
              </w:rPr>
            </w:pPr>
            <w:r>
              <w:rPr>
                <w:color w:val="231F20"/>
                <w:w w:val="100"/>
                <w:sz w:val="13"/>
                <w:shd w:fill="FFFFFF" w:color="auto" w:val="clear"/>
              </w:rPr>
              <w:t> </w:t>
            </w:r>
            <w:r>
              <w:rPr>
                <w:color w:val="231F20"/>
                <w:sz w:val="13"/>
                <w:shd w:fill="FFFFFF" w:color="auto" w:val="clear"/>
              </w:rPr>
              <w:t>Felsic</w:t>
            </w:r>
            <w:r>
              <w:rPr>
                <w:color w:val="231F20"/>
                <w:sz w:val="13"/>
              </w:rPr>
              <w:t> lava</w:t>
            </w:r>
          </w:p>
          <w:p>
            <w:pPr>
              <w:pStyle w:val="TableParagraph"/>
              <w:spacing w:line="134" w:lineRule="exact" w:before="0"/>
              <w:ind w:left="1090"/>
              <w:rPr>
                <w:sz w:val="13"/>
              </w:rPr>
            </w:pPr>
            <w:r>
              <w:rPr>
                <w:color w:val="231F20"/>
                <w:w w:val="100"/>
                <w:sz w:val="13"/>
                <w:shd w:fill="FFFFFF" w:color="auto" w:val="clear"/>
              </w:rPr>
              <w:t> </w:t>
            </w:r>
            <w:r>
              <w:rPr>
                <w:color w:val="231F20"/>
                <w:sz w:val="13"/>
                <w:shd w:fill="FFFFFF" w:color="auto" w:val="clear"/>
              </w:rPr>
              <w:t>dome </w:t>
            </w:r>
          </w:p>
          <w:p>
            <w:pPr>
              <w:pStyle w:val="TableParagraph"/>
              <w:spacing w:line="240" w:lineRule="auto" w:before="8"/>
              <w:rPr>
                <w:rFonts w:ascii="Times New Roman"/>
                <w:sz w:val="13"/>
              </w:rPr>
            </w:pPr>
          </w:p>
          <w:p>
            <w:pPr>
              <w:pStyle w:val="TableParagraph"/>
              <w:tabs>
                <w:tab w:pos="2114" w:val="left" w:leader="none"/>
                <w:tab w:pos="4024" w:val="left" w:leader="none"/>
              </w:tabs>
              <w:spacing w:line="168" w:lineRule="auto" w:before="0"/>
              <w:ind w:left="34" w:right="147" w:firstLine="337"/>
              <w:rPr>
                <w:sz w:val="13"/>
              </w:rPr>
            </w:pPr>
            <w:r>
              <w:rPr>
                <w:color w:val="231F20"/>
                <w:w w:val="105"/>
                <w:position w:val="3"/>
                <w:sz w:val="13"/>
              </w:rPr>
              <w:t>Quartz-sericie-</w:t>
              <w:tab/>
            </w:r>
            <w:r>
              <w:rPr>
                <w:color w:val="231F20"/>
                <w:w w:val="105"/>
                <w:sz w:val="13"/>
              </w:rPr>
              <w:t>Realgar-cinnabar-stibnite</w:t>
              <w:tab/>
            </w:r>
            <w:r>
              <w:rPr>
                <w:color w:val="231F20"/>
                <w:w w:val="105"/>
                <w:position w:val="1"/>
                <w:sz w:val="13"/>
              </w:rPr>
              <w:t>Infilling</w:t>
            </w:r>
            <w:r>
              <w:rPr>
                <w:color w:val="231F20"/>
                <w:spacing w:val="16"/>
                <w:w w:val="105"/>
                <w:position w:val="1"/>
                <w:sz w:val="13"/>
              </w:rPr>
              <w:t> </w:t>
            </w:r>
            <w:r>
              <w:rPr>
                <w:color w:val="231F20"/>
                <w:w w:val="105"/>
                <w:position w:val="1"/>
                <w:sz w:val="13"/>
              </w:rPr>
              <w:t>and</w:t>
            </w:r>
            <w:r>
              <w:rPr>
                <w:color w:val="231F20"/>
                <w:spacing w:val="-1"/>
                <w:w w:val="108"/>
                <w:position w:val="1"/>
                <w:sz w:val="13"/>
              </w:rPr>
              <w:t> </w:t>
            </w:r>
            <w:r>
              <w:rPr>
                <w:color w:val="231F20"/>
                <w:spacing w:val="-1"/>
                <w:w w:val="108"/>
                <w:position w:val="3"/>
                <w:sz w:val="13"/>
              </w:rPr>
              <w:drawing>
                <wp:inline distT="0" distB="0" distL="0" distR="0">
                  <wp:extent cx="175813" cy="104775"/>
                  <wp:effectExtent l="0" t="0" r="0" b="0"/>
                  <wp:docPr id="15" name="image25.png" descr=""/>
                  <wp:cNvGraphicFramePr>
                    <a:graphicFrameLocks noChangeAspect="1"/>
                  </wp:cNvGraphicFramePr>
                  <a:graphic>
                    <a:graphicData uri="http://schemas.openxmlformats.org/drawingml/2006/picture">
                      <pic:pic>
                        <pic:nvPicPr>
                          <pic:cNvPr id="16" name="image25.png"/>
                          <pic:cNvPicPr/>
                        </pic:nvPicPr>
                        <pic:blipFill>
                          <a:blip r:embed="rId34" cstate="print"/>
                          <a:stretch>
                            <a:fillRect/>
                          </a:stretch>
                        </pic:blipFill>
                        <pic:spPr>
                          <a:xfrm>
                            <a:off x="0" y="0"/>
                            <a:ext cx="175813" cy="104775"/>
                          </a:xfrm>
                          <a:prstGeom prst="rect">
                            <a:avLst/>
                          </a:prstGeom>
                        </pic:spPr>
                      </pic:pic>
                    </a:graphicData>
                  </a:graphic>
                </wp:inline>
              </w:drawing>
            </w:r>
            <w:r>
              <w:rPr>
                <w:color w:val="231F20"/>
                <w:spacing w:val="-1"/>
                <w:w w:val="108"/>
                <w:position w:val="3"/>
                <w:sz w:val="13"/>
              </w:rPr>
            </w:r>
            <w:r>
              <w:rPr>
                <w:rFonts w:ascii="Times New Roman"/>
                <w:color w:val="231F20"/>
                <w:spacing w:val="-1"/>
                <w:w w:val="108"/>
                <w:position w:val="8"/>
                <w:sz w:val="13"/>
              </w:rPr>
              <w:t> </w:t>
            </w:r>
            <w:r>
              <w:rPr>
                <w:rFonts w:ascii="Times New Roman"/>
                <w:color w:val="231F20"/>
                <w:spacing w:val="-5"/>
                <w:w w:val="108"/>
                <w:position w:val="8"/>
                <w:sz w:val="13"/>
              </w:rPr>
              <w:t> </w:t>
            </w:r>
            <w:r>
              <w:rPr>
                <w:color w:val="231F20"/>
                <w:w w:val="105"/>
                <w:position w:val="8"/>
                <w:sz w:val="13"/>
              </w:rPr>
              <w:t>Al</w:t>
            </w:r>
            <w:r>
              <w:rPr>
                <w:color w:val="231F20"/>
                <w:spacing w:val="-1"/>
                <w:w w:val="105"/>
                <w:position w:val="8"/>
                <w:sz w:val="13"/>
              </w:rPr>
              <w:t> </w:t>
            </w:r>
            <w:r>
              <w:rPr>
                <w:color w:val="231F20"/>
                <w:w w:val="105"/>
                <w:position w:val="8"/>
                <w:sz w:val="13"/>
              </w:rPr>
              <w:t>silicate</w:t>
              <w:tab/>
            </w:r>
            <w:r>
              <w:rPr>
                <w:color w:val="231F20"/>
                <w:w w:val="105"/>
                <w:sz w:val="13"/>
              </w:rPr>
              <w:t>Arsenopyrite-stibnite-</w:t>
              <w:tab/>
            </w:r>
            <w:r>
              <w:rPr>
                <w:color w:val="231F20"/>
                <w:w w:val="105"/>
                <w:position w:val="5"/>
                <w:sz w:val="13"/>
              </w:rPr>
              <w:t>replacement</w:t>
            </w:r>
          </w:p>
          <w:p>
            <w:pPr>
              <w:pStyle w:val="TableParagraph"/>
              <w:tabs>
                <w:tab w:pos="2121" w:val="left" w:leader="none"/>
              </w:tabs>
              <w:spacing w:line="31" w:lineRule="auto" w:before="0"/>
              <w:ind w:left="371"/>
              <w:rPr>
                <w:sz w:val="13"/>
              </w:rPr>
            </w:pPr>
            <w:r>
              <w:rPr>
                <w:color w:val="231F20"/>
                <w:w w:val="105"/>
                <w:position w:val="8"/>
                <w:sz w:val="13"/>
              </w:rPr>
              <w:t>(advanced</w:t>
            </w:r>
            <w:r>
              <w:rPr>
                <w:color w:val="231F20"/>
                <w:spacing w:val="-1"/>
                <w:w w:val="105"/>
                <w:position w:val="8"/>
                <w:sz w:val="13"/>
              </w:rPr>
              <w:t> </w:t>
            </w:r>
            <w:r>
              <w:rPr>
                <w:color w:val="231F20"/>
                <w:w w:val="105"/>
                <w:position w:val="8"/>
                <w:sz w:val="13"/>
              </w:rPr>
              <w:t>argillic)</w:t>
              <w:tab/>
            </w:r>
            <w:r>
              <w:rPr>
                <w:color w:val="231F20"/>
                <w:w w:val="105"/>
                <w:sz w:val="13"/>
              </w:rPr>
              <w:t>tetrahedrite-Pb sulphosalts</w:t>
            </w:r>
          </w:p>
          <w:p>
            <w:pPr>
              <w:pStyle w:val="TableParagraph"/>
              <w:tabs>
                <w:tab w:pos="2125" w:val="left" w:leader="none"/>
              </w:tabs>
              <w:spacing w:line="134" w:lineRule="exact" w:before="0"/>
              <w:ind w:left="364"/>
              <w:rPr>
                <w:sz w:val="13"/>
              </w:rPr>
            </w:pPr>
            <w:r>
              <w:rPr>
                <w:color w:val="231F20"/>
                <w:w w:val="105"/>
                <w:position w:val="4"/>
                <w:sz w:val="13"/>
              </w:rPr>
              <w:t>Sericite-quartz-pyrite</w:t>
              <w:tab/>
            </w:r>
            <w:r>
              <w:rPr>
                <w:color w:val="231F20"/>
                <w:w w:val="105"/>
                <w:sz w:val="13"/>
              </w:rPr>
              <w:t>Quartz-pyrite-arsenopyrite-</w:t>
            </w:r>
          </w:p>
          <w:p>
            <w:pPr>
              <w:pStyle w:val="TableParagraph"/>
              <w:tabs>
                <w:tab w:pos="2125" w:val="left" w:leader="none"/>
              </w:tabs>
              <w:spacing w:line="123" w:lineRule="exact" w:before="0"/>
              <w:ind w:left="364"/>
              <w:rPr>
                <w:sz w:val="13"/>
              </w:rPr>
            </w:pPr>
            <w:r>
              <w:rPr>
                <w:color w:val="231F20"/>
                <w:w w:val="105"/>
                <w:position w:val="3"/>
                <w:sz w:val="13"/>
              </w:rPr>
              <w:t>(argillic)</w:t>
              <w:tab/>
            </w:r>
            <w:r>
              <w:rPr>
                <w:color w:val="231F20"/>
                <w:w w:val="105"/>
                <w:sz w:val="13"/>
              </w:rPr>
              <w:t>sphalerite-galena-tetrahedrite</w:t>
            </w:r>
            <w:r>
              <w:rPr>
                <w:color w:val="231F20"/>
                <w:spacing w:val="-1"/>
                <w:w w:val="105"/>
                <w:sz w:val="13"/>
              </w:rPr>
              <w:t> </w:t>
            </w:r>
            <w:r>
              <w:rPr>
                <w:color w:val="231F20"/>
                <w:w w:val="105"/>
                <w:sz w:val="13"/>
              </w:rPr>
              <w:t>veins</w:t>
            </w:r>
          </w:p>
        </w:tc>
      </w:tr>
      <w:tr>
        <w:trPr>
          <w:trHeight w:val="3232" w:hRule="atLeast"/>
        </w:trPr>
        <w:tc>
          <w:tcPr>
            <w:tcW w:w="5075" w:type="dxa"/>
            <w:tcBorders>
              <w:right w:val="single" w:sz="6" w:space="0" w:color="231F20"/>
            </w:tcBorders>
          </w:tcPr>
          <w:p>
            <w:pPr>
              <w:pStyle w:val="TableParagraph"/>
              <w:spacing w:line="235" w:lineRule="auto" w:before="77"/>
              <w:ind w:left="3875" w:right="10" w:firstLine="263"/>
              <w:rPr>
                <w:b/>
                <w:sz w:val="16"/>
              </w:rPr>
            </w:pPr>
            <w:r>
              <w:rPr>
                <w:b/>
                <w:color w:val="231F20"/>
                <w:sz w:val="16"/>
              </w:rPr>
              <w:t>FELSIC- SILICICLASTIC</w:t>
            </w:r>
          </w:p>
          <w:p>
            <w:pPr>
              <w:pStyle w:val="TableParagraph"/>
              <w:spacing w:line="211" w:lineRule="auto" w:before="63"/>
              <w:ind w:left="3889" w:right="59"/>
              <w:jc w:val="center"/>
              <w:rPr>
                <w:sz w:val="15"/>
              </w:rPr>
            </w:pPr>
            <w:r>
              <w:rPr>
                <w:color w:val="231F20"/>
                <w:sz w:val="15"/>
              </w:rPr>
              <w:t>Canadian grade</w:t>
            </w:r>
            <w:r>
              <w:rPr>
                <w:color w:val="231F20"/>
                <w:w w:val="99"/>
                <w:sz w:val="15"/>
              </w:rPr>
              <w:t> </w:t>
            </w:r>
            <w:r>
              <w:rPr>
                <w:color w:val="231F20"/>
                <w:sz w:val="15"/>
              </w:rPr>
              <w:t>and tonnage</w:t>
            </w:r>
          </w:p>
          <w:p>
            <w:pPr>
              <w:pStyle w:val="TableParagraph"/>
              <w:spacing w:line="170" w:lineRule="exact" w:before="60"/>
              <w:ind w:right="119"/>
              <w:jc w:val="right"/>
              <w:rPr>
                <w:sz w:val="15"/>
              </w:rPr>
            </w:pPr>
            <w:r>
              <w:rPr>
                <w:color w:val="231F20"/>
                <w:sz w:val="15"/>
              </w:rPr>
              <w:t>Average 9.2 Mt</w:t>
            </w:r>
          </w:p>
          <w:p>
            <w:pPr>
              <w:pStyle w:val="TableParagraph"/>
              <w:spacing w:line="170" w:lineRule="exact" w:before="0"/>
              <w:ind w:right="110"/>
              <w:jc w:val="right"/>
              <w:rPr>
                <w:sz w:val="15"/>
              </w:rPr>
            </w:pPr>
            <w:r>
              <w:rPr>
                <w:color w:val="231F20"/>
                <w:sz w:val="15"/>
              </w:rPr>
              <w:t>Median 64.4 Mt</w:t>
            </w:r>
          </w:p>
          <w:p>
            <w:pPr>
              <w:pStyle w:val="TableParagraph"/>
              <w:spacing w:line="170" w:lineRule="exact" w:before="33"/>
              <w:ind w:right="348"/>
              <w:jc w:val="right"/>
              <w:rPr>
                <w:sz w:val="15"/>
              </w:rPr>
            </w:pPr>
            <w:r>
              <w:rPr>
                <w:color w:val="231F20"/>
                <w:sz w:val="15"/>
              </w:rPr>
              <w:t>0.98% Cu</w:t>
            </w:r>
          </w:p>
          <w:p>
            <w:pPr>
              <w:pStyle w:val="TableParagraph"/>
              <w:spacing w:line="168" w:lineRule="exact" w:before="0"/>
              <w:ind w:right="448"/>
              <w:jc w:val="right"/>
              <w:rPr>
                <w:sz w:val="15"/>
              </w:rPr>
            </w:pPr>
            <w:r>
              <w:rPr>
                <w:color w:val="231F20"/>
                <w:sz w:val="15"/>
              </w:rPr>
              <w:t>4.7% Zn</w:t>
            </w:r>
          </w:p>
          <w:p>
            <w:pPr>
              <w:pStyle w:val="TableParagraph"/>
              <w:spacing w:line="168" w:lineRule="exact" w:before="0"/>
              <w:ind w:right="440"/>
              <w:jc w:val="right"/>
              <w:rPr>
                <w:sz w:val="15"/>
              </w:rPr>
            </w:pPr>
            <w:r>
              <w:rPr>
                <w:color w:val="231F20"/>
                <w:sz w:val="15"/>
              </w:rPr>
              <w:t>2.0% Pb</w:t>
            </w:r>
          </w:p>
          <w:p>
            <w:pPr>
              <w:pStyle w:val="TableParagraph"/>
              <w:spacing w:line="168" w:lineRule="exact" w:before="0"/>
              <w:ind w:right="415"/>
              <w:jc w:val="right"/>
              <w:rPr>
                <w:sz w:val="15"/>
              </w:rPr>
            </w:pPr>
            <w:r>
              <w:rPr>
                <w:color w:val="231F20"/>
                <w:sz w:val="15"/>
              </w:rPr>
              <w:t>53 g/t Ag</w:t>
            </w:r>
          </w:p>
          <w:p>
            <w:pPr>
              <w:pStyle w:val="TableParagraph"/>
              <w:spacing w:line="170" w:lineRule="exact" w:before="0"/>
              <w:ind w:right="289"/>
              <w:jc w:val="right"/>
              <w:rPr>
                <w:sz w:val="15"/>
              </w:rPr>
            </w:pPr>
            <w:r>
              <w:rPr>
                <w:color w:val="231F20"/>
                <w:sz w:val="15"/>
              </w:rPr>
              <w:t>0.93 g/t Au</w:t>
            </w:r>
          </w:p>
          <w:p>
            <w:pPr>
              <w:pStyle w:val="TableParagraph"/>
              <w:spacing w:line="240" w:lineRule="auto" w:before="2"/>
              <w:rPr>
                <w:rFonts w:ascii="Times New Roman"/>
                <w:sz w:val="15"/>
              </w:rPr>
            </w:pPr>
          </w:p>
          <w:p>
            <w:pPr>
              <w:pStyle w:val="TableParagraph"/>
              <w:tabs>
                <w:tab w:pos="1618" w:val="left" w:leader="none"/>
                <w:tab w:pos="3178" w:val="left" w:leader="none"/>
                <w:tab w:pos="3522" w:val="left" w:leader="none"/>
              </w:tabs>
              <w:spacing w:line="156" w:lineRule="auto" w:before="0"/>
              <w:ind w:left="333" w:right="140" w:hanging="257"/>
              <w:rPr>
                <w:sz w:val="13"/>
              </w:rPr>
            </w:pPr>
            <w:r>
              <w:rPr>
                <w:color w:val="231F20"/>
                <w:position w:val="-2"/>
                <w:sz w:val="13"/>
              </w:rPr>
              <w:t>Iron</w:t>
            </w:r>
            <w:r>
              <w:rPr>
                <w:color w:val="231F20"/>
                <w:spacing w:val="-2"/>
                <w:position w:val="-2"/>
                <w:sz w:val="13"/>
              </w:rPr>
              <w:t> </w:t>
            </w:r>
            <w:r>
              <w:rPr>
                <w:color w:val="231F20"/>
                <w:position w:val="-2"/>
                <w:sz w:val="13"/>
              </w:rPr>
              <w:t>formation</w:t>
            </w:r>
            <w:r>
              <w:rPr>
                <w:color w:val="231F20"/>
                <w:spacing w:val="-2"/>
                <w:position w:val="-2"/>
                <w:sz w:val="13"/>
              </w:rPr>
              <w:t> </w:t>
            </w:r>
            <w:r>
              <w:rPr>
                <w:color w:val="231F20"/>
                <w:position w:val="-2"/>
                <w:sz w:val="13"/>
              </w:rPr>
              <w:t>facies</w:t>
              <w:tab/>
            </w:r>
            <w:r>
              <w:rPr>
                <w:color w:val="231F20"/>
                <w:sz w:val="13"/>
              </w:rPr>
              <w:t>Carbonaceous</w:t>
            </w:r>
            <w:r>
              <w:rPr>
                <w:color w:val="231F20"/>
                <w:spacing w:val="-7"/>
                <w:sz w:val="13"/>
              </w:rPr>
              <w:t> </w:t>
            </w:r>
            <w:r>
              <w:rPr>
                <w:color w:val="231F20"/>
                <w:sz w:val="13"/>
              </w:rPr>
              <w:t>shale</w:t>
              <w:tab/>
              <w:tab/>
            </w:r>
            <w:r>
              <w:rPr>
                <w:color w:val="231F20"/>
                <w:position w:val="-9"/>
                <w:sz w:val="13"/>
              </w:rPr>
              <w:drawing>
                <wp:inline distT="0" distB="0" distL="0" distR="0">
                  <wp:extent cx="177177" cy="105575"/>
                  <wp:effectExtent l="0" t="0" r="0" b="0"/>
                  <wp:docPr id="17" name="image26.png" descr=""/>
                  <wp:cNvGraphicFramePr>
                    <a:graphicFrameLocks noChangeAspect="1"/>
                  </wp:cNvGraphicFramePr>
                  <a:graphic>
                    <a:graphicData uri="http://schemas.openxmlformats.org/drawingml/2006/picture">
                      <pic:pic>
                        <pic:nvPicPr>
                          <pic:cNvPr id="18" name="image26.png"/>
                          <pic:cNvPicPr/>
                        </pic:nvPicPr>
                        <pic:blipFill>
                          <a:blip r:embed="rId35" cstate="print"/>
                          <a:stretch>
                            <a:fillRect/>
                          </a:stretch>
                        </pic:blipFill>
                        <pic:spPr>
                          <a:xfrm>
                            <a:off x="0" y="0"/>
                            <a:ext cx="177177" cy="105575"/>
                          </a:xfrm>
                          <a:prstGeom prst="rect">
                            <a:avLst/>
                          </a:prstGeom>
                        </pic:spPr>
                      </pic:pic>
                    </a:graphicData>
                  </a:graphic>
                </wp:inline>
              </w:drawing>
            </w:r>
            <w:r>
              <w:rPr>
                <w:color w:val="231F20"/>
                <w:position w:val="-9"/>
                <w:sz w:val="13"/>
              </w:rPr>
            </w:r>
            <w:r>
              <w:rPr>
                <w:rFonts w:ascii="Times New Roman"/>
                <w:color w:val="231F20"/>
                <w:sz w:val="13"/>
              </w:rPr>
              <w:t>  </w:t>
            </w:r>
            <w:r>
              <w:rPr>
                <w:color w:val="231F20"/>
                <w:w w:val="95"/>
                <w:sz w:val="13"/>
              </w:rPr>
              <w:t>Chlorite-pyrrhotite-pyrite </w:t>
            </w:r>
            <w:r>
              <w:rPr>
                <w:color w:val="231F20"/>
                <w:position w:val="-4"/>
                <w:sz w:val="13"/>
              </w:rPr>
              <w:t>Hematite</w:t>
              <w:tab/>
            </w:r>
            <w:r>
              <w:rPr>
                <w:color w:val="231F20"/>
                <w:sz w:val="13"/>
              </w:rPr>
              <w:t>Massive</w:t>
            </w:r>
            <w:r>
              <w:rPr>
                <w:color w:val="231F20"/>
                <w:spacing w:val="-2"/>
                <w:sz w:val="13"/>
              </w:rPr>
              <w:t> </w:t>
            </w:r>
            <w:r>
              <w:rPr>
                <w:color w:val="231F20"/>
                <w:sz w:val="13"/>
              </w:rPr>
              <w:t>fine-grained</w:t>
            </w:r>
            <w:r>
              <w:rPr>
                <w:color w:val="231F20"/>
                <w:spacing w:val="-2"/>
                <w:sz w:val="13"/>
              </w:rPr>
              <w:t> </w:t>
            </w:r>
            <w:r>
              <w:rPr>
                <w:color w:val="231F20"/>
                <w:sz w:val="13"/>
              </w:rPr>
              <w:t>and</w:t>
              <w:tab/>
              <w:tab/>
            </w:r>
            <w:r>
              <w:rPr>
                <w:color w:val="231F20"/>
                <w:position w:val="3"/>
                <w:sz w:val="13"/>
              </w:rPr>
              <w:t>-chalcopyrte-(Au) </w:t>
            </w:r>
            <w:r>
              <w:rPr>
                <w:color w:val="231F20"/>
                <w:position w:val="-6"/>
                <w:sz w:val="13"/>
              </w:rPr>
              <w:t>Magnetite</w:t>
              <w:tab/>
            </w:r>
            <w:r>
              <w:rPr>
                <w:color w:val="231F20"/>
                <w:position w:val="4"/>
                <w:sz w:val="13"/>
              </w:rPr>
              <w:t>layered</w:t>
            </w:r>
            <w:r>
              <w:rPr>
                <w:color w:val="231F20"/>
                <w:spacing w:val="-2"/>
                <w:position w:val="4"/>
                <w:sz w:val="13"/>
              </w:rPr>
              <w:t> </w:t>
            </w:r>
            <w:r>
              <w:rPr>
                <w:color w:val="231F20"/>
                <w:position w:val="4"/>
                <w:sz w:val="13"/>
              </w:rPr>
              <w:t>pyrite</w:t>
              <w:tab/>
              <w:tab/>
            </w:r>
            <w:r>
              <w:rPr>
                <w:color w:val="231F20"/>
                <w:sz w:val="13"/>
              </w:rPr>
              <w:t>Siliceous</w:t>
            </w:r>
            <w:r>
              <w:rPr>
                <w:color w:val="231F20"/>
                <w:spacing w:val="-2"/>
                <w:sz w:val="13"/>
              </w:rPr>
              <w:t> </w:t>
            </w:r>
            <w:r>
              <w:rPr>
                <w:color w:val="231F20"/>
                <w:sz w:val="13"/>
              </w:rPr>
              <w:t>stockwork</w:t>
            </w:r>
          </w:p>
          <w:p>
            <w:pPr>
              <w:pStyle w:val="TableParagraph"/>
              <w:spacing w:line="25" w:lineRule="exact" w:before="0"/>
              <w:ind w:left="1279" w:right="1929"/>
              <w:jc w:val="center"/>
              <w:rPr>
                <w:sz w:val="13"/>
              </w:rPr>
            </w:pPr>
            <w:r>
              <w:rPr>
                <w:position w:val="-6"/>
              </w:rPr>
              <w:drawing>
                <wp:inline distT="0" distB="0" distL="0" distR="0">
                  <wp:extent cx="177190" cy="105562"/>
                  <wp:effectExtent l="0" t="0" r="0" b="0"/>
                  <wp:docPr id="19" name="image27.png" descr=""/>
                  <wp:cNvGraphicFramePr>
                    <a:graphicFrameLocks noChangeAspect="1"/>
                  </wp:cNvGraphicFramePr>
                  <a:graphic>
                    <a:graphicData uri="http://schemas.openxmlformats.org/drawingml/2006/picture">
                      <pic:pic>
                        <pic:nvPicPr>
                          <pic:cNvPr id="20" name="image27.png"/>
                          <pic:cNvPicPr/>
                        </pic:nvPicPr>
                        <pic:blipFill>
                          <a:blip r:embed="rId36" cstate="print"/>
                          <a:stretch>
                            <a:fillRect/>
                          </a:stretch>
                        </pic:blipFill>
                        <pic:spPr>
                          <a:xfrm>
                            <a:off x="0" y="0"/>
                            <a:ext cx="177190" cy="105562"/>
                          </a:xfrm>
                          <a:prstGeom prst="rect">
                            <a:avLst/>
                          </a:prstGeom>
                        </pic:spPr>
                      </pic:pic>
                    </a:graphicData>
                  </a:graphic>
                </wp:inline>
              </w:drawing>
            </w:r>
            <w:r>
              <w:rPr>
                <w:position w:val="-6"/>
              </w:rPr>
            </w:r>
            <w:r>
              <w:rPr>
                <w:rFonts w:ascii="Times New Roman"/>
                <w:spacing w:val="2"/>
                <w:sz w:val="20"/>
              </w:rPr>
              <w:t> </w:t>
            </w:r>
            <w:r>
              <w:rPr>
                <w:color w:val="231F20"/>
                <w:sz w:val="13"/>
              </w:rPr>
              <w:t>Layered</w:t>
            </w:r>
            <w:r>
              <w:rPr>
                <w:color w:val="231F20"/>
                <w:spacing w:val="-2"/>
                <w:sz w:val="13"/>
              </w:rPr>
              <w:t> </w:t>
            </w:r>
            <w:r>
              <w:rPr>
                <w:color w:val="231F20"/>
                <w:sz w:val="13"/>
              </w:rPr>
              <w:t>pyrite-sphalerite-</w:t>
            </w:r>
          </w:p>
          <w:p>
            <w:pPr>
              <w:pStyle w:val="TableParagraph"/>
              <w:tabs>
                <w:tab w:pos="1289" w:val="left" w:leader="none"/>
                <w:tab w:pos="3575" w:val="left" w:leader="none"/>
                <w:tab w:pos="4191" w:val="left" w:leader="none"/>
              </w:tabs>
              <w:spacing w:line="134" w:lineRule="auto" w:before="0"/>
              <w:ind w:right="515"/>
              <w:jc w:val="right"/>
              <w:rPr>
                <w:sz w:val="13"/>
              </w:rPr>
            </w:pPr>
            <w:r>
              <w:rPr>
                <w:color w:val="231F20"/>
                <w:sz w:val="13"/>
              </w:rPr>
              <w:t>Carbonate</w:t>
              <w:tab/>
            </w:r>
            <w:r>
              <w:rPr>
                <w:color w:val="231F20"/>
                <w:position w:val="2"/>
                <w:sz w:val="13"/>
              </w:rPr>
              <w:t>galena-Ag-Au</w:t>
            </w:r>
            <w:r>
              <w:rPr>
                <w:color w:val="231F20"/>
                <w:spacing w:val="-5"/>
                <w:position w:val="2"/>
                <w:sz w:val="13"/>
              </w:rPr>
              <w:t> </w:t>
            </w:r>
            <w:r>
              <w:rPr>
                <w:color w:val="231F20"/>
                <w:position w:val="2"/>
                <w:sz w:val="13"/>
              </w:rPr>
              <w:t>(transitional</w:t>
            </w:r>
            <w:r>
              <w:rPr>
                <w:color w:val="231F20"/>
                <w:spacing w:val="-5"/>
                <w:position w:val="2"/>
                <w:sz w:val="13"/>
              </w:rPr>
              <w:t> </w:t>
            </w:r>
            <w:r>
              <w:rPr>
                <w:color w:val="231F20"/>
                <w:position w:val="2"/>
                <w:sz w:val="13"/>
              </w:rPr>
              <w:t>ore)</w:t>
            </w:r>
            <w:r>
              <w:rPr>
                <w:color w:val="231F20"/>
                <w:position w:val="-8"/>
                <w:sz w:val="13"/>
                <w:u w:val="single" w:color="231F20"/>
              </w:rPr>
              <w:t> </w:t>
              <w:tab/>
              <w:t>500</w:t>
            </w:r>
            <w:r>
              <w:rPr>
                <w:color w:val="231F20"/>
                <w:spacing w:val="-1"/>
                <w:position w:val="-8"/>
                <w:sz w:val="13"/>
                <w:u w:val="single" w:color="231F20"/>
              </w:rPr>
              <w:t> </w:t>
            </w:r>
            <w:r>
              <w:rPr>
                <w:color w:val="231F20"/>
                <w:position w:val="-8"/>
                <w:sz w:val="13"/>
                <w:u w:val="single" w:color="231F20"/>
              </w:rPr>
              <w:t>m</w:t>
              <w:tab/>
            </w:r>
          </w:p>
          <w:p>
            <w:pPr>
              <w:pStyle w:val="TableParagraph"/>
              <w:spacing w:line="120" w:lineRule="exact" w:before="0"/>
              <w:ind w:left="351"/>
              <w:rPr>
                <w:sz w:val="13"/>
              </w:rPr>
            </w:pPr>
            <w:r>
              <w:rPr>
                <w:color w:val="231F20"/>
                <w:w w:val="95"/>
                <w:position w:val="-4"/>
                <w:sz w:val="13"/>
              </w:rPr>
              <w:t>Manganese-iron  </w:t>
            </w:r>
            <w:r>
              <w:rPr>
                <w:color w:val="231F20"/>
                <w:spacing w:val="-23"/>
                <w:position w:val="-9"/>
                <w:sz w:val="13"/>
              </w:rPr>
              <w:drawing>
                <wp:inline distT="0" distB="0" distL="0" distR="0">
                  <wp:extent cx="177190" cy="105562"/>
                  <wp:effectExtent l="0" t="0" r="0" b="0"/>
                  <wp:docPr id="21" name="image28.png" descr=""/>
                  <wp:cNvGraphicFramePr>
                    <a:graphicFrameLocks noChangeAspect="1"/>
                  </wp:cNvGraphicFramePr>
                  <a:graphic>
                    <a:graphicData uri="http://schemas.openxmlformats.org/drawingml/2006/picture">
                      <pic:pic>
                        <pic:nvPicPr>
                          <pic:cNvPr id="22" name="image28.png"/>
                          <pic:cNvPicPr/>
                        </pic:nvPicPr>
                        <pic:blipFill>
                          <a:blip r:embed="rId37" cstate="print"/>
                          <a:stretch>
                            <a:fillRect/>
                          </a:stretch>
                        </pic:blipFill>
                        <pic:spPr>
                          <a:xfrm>
                            <a:off x="0" y="0"/>
                            <a:ext cx="177190" cy="105562"/>
                          </a:xfrm>
                          <a:prstGeom prst="rect">
                            <a:avLst/>
                          </a:prstGeom>
                        </pic:spPr>
                      </pic:pic>
                    </a:graphicData>
                  </a:graphic>
                </wp:inline>
              </w:drawing>
            </w:r>
            <w:r>
              <w:rPr>
                <w:color w:val="231F20"/>
                <w:spacing w:val="-23"/>
                <w:position w:val="-9"/>
                <w:sz w:val="13"/>
              </w:rPr>
            </w:r>
            <w:r>
              <w:rPr>
                <w:rFonts w:ascii="Times New Roman"/>
                <w:color w:val="231F20"/>
                <w:spacing w:val="-23"/>
                <w:sz w:val="13"/>
              </w:rPr>
              <w:t> </w:t>
            </w:r>
            <w:r>
              <w:rPr>
                <w:rFonts w:ascii="Times New Roman"/>
                <w:color w:val="231F20"/>
                <w:spacing w:val="-6"/>
                <w:sz w:val="13"/>
              </w:rPr>
              <w:t> </w:t>
            </w:r>
            <w:r>
              <w:rPr>
                <w:color w:val="231F20"/>
                <w:sz w:val="13"/>
              </w:rPr>
              <w:t>Massive</w:t>
            </w:r>
            <w:r>
              <w:rPr>
                <w:color w:val="231F20"/>
                <w:spacing w:val="-15"/>
                <w:sz w:val="13"/>
              </w:rPr>
              <w:t> </w:t>
            </w:r>
            <w:r>
              <w:rPr>
                <w:color w:val="231F20"/>
                <w:sz w:val="13"/>
              </w:rPr>
              <w:t>pyrrhotite-pyrite-</w:t>
            </w:r>
          </w:p>
          <w:p>
            <w:pPr>
              <w:pStyle w:val="TableParagraph"/>
              <w:spacing w:line="91" w:lineRule="exact" w:before="0"/>
              <w:ind w:left="1135" w:right="1929"/>
              <w:jc w:val="center"/>
              <w:rPr>
                <w:sz w:val="13"/>
              </w:rPr>
            </w:pPr>
            <w:r>
              <w:rPr>
                <w:color w:val="231F20"/>
                <w:sz w:val="13"/>
              </w:rPr>
              <w:t>chalcopyrite-(Au)</w:t>
            </w:r>
          </w:p>
        </w:tc>
        <w:tc>
          <w:tcPr>
            <w:tcW w:w="4971" w:type="dxa"/>
            <w:tcBorders>
              <w:left w:val="single" w:sz="6" w:space="0" w:color="231F20"/>
            </w:tcBorders>
          </w:tcPr>
          <w:p>
            <w:pPr>
              <w:pStyle w:val="TableParagraph"/>
              <w:spacing w:line="180" w:lineRule="exact" w:before="118"/>
              <w:ind w:right="389"/>
              <w:jc w:val="right"/>
              <w:rPr>
                <w:b/>
                <w:sz w:val="16"/>
              </w:rPr>
            </w:pPr>
            <w:r>
              <w:rPr>
                <w:b/>
                <w:color w:val="231F20"/>
                <w:w w:val="105"/>
                <w:sz w:val="16"/>
              </w:rPr>
              <w:t>PELITIC-</w:t>
            </w:r>
          </w:p>
          <w:p>
            <w:pPr>
              <w:pStyle w:val="TableParagraph"/>
              <w:tabs>
                <w:tab w:pos="3917" w:val="left" w:leader="none"/>
              </w:tabs>
              <w:spacing w:line="199" w:lineRule="exact" w:before="0"/>
              <w:ind w:left="2448"/>
              <w:rPr>
                <w:b/>
                <w:sz w:val="16"/>
              </w:rPr>
            </w:pPr>
            <w:r>
              <w:rPr>
                <w:color w:val="231F20"/>
                <w:sz w:val="13"/>
              </w:rPr>
              <w:t>Laminated</w:t>
            </w:r>
            <w:r>
              <w:rPr>
                <w:color w:val="231F20"/>
                <w:spacing w:val="0"/>
                <w:sz w:val="13"/>
              </w:rPr>
              <w:t> </w:t>
            </w:r>
            <w:r>
              <w:rPr>
                <w:color w:val="231F20"/>
                <w:sz w:val="13"/>
              </w:rPr>
              <w:t>argillite</w:t>
              <w:tab/>
            </w:r>
            <w:r>
              <w:rPr>
                <w:b/>
                <w:color w:val="231F20"/>
                <w:position w:val="5"/>
                <w:sz w:val="16"/>
              </w:rPr>
              <w:t>MAFIC</w:t>
            </w:r>
          </w:p>
          <w:p>
            <w:pPr>
              <w:pStyle w:val="TableParagraph"/>
              <w:tabs>
                <w:tab w:pos="3734" w:val="left" w:leader="none"/>
              </w:tabs>
              <w:spacing w:line="211" w:lineRule="auto" w:before="0"/>
              <w:ind w:left="3850" w:right="153" w:hanging="1403"/>
              <w:rPr>
                <w:sz w:val="15"/>
              </w:rPr>
            </w:pPr>
            <w:r>
              <w:rPr>
                <w:color w:val="231F20"/>
                <w:position w:val="3"/>
                <w:sz w:val="13"/>
              </w:rPr>
              <w:t>and shale</w:t>
              <w:tab/>
            </w:r>
            <w:r>
              <w:rPr>
                <w:color w:val="231F20"/>
                <w:sz w:val="15"/>
              </w:rPr>
              <w:t>Canadian</w:t>
            </w:r>
            <w:r>
              <w:rPr>
                <w:color w:val="231F20"/>
                <w:spacing w:val="-10"/>
                <w:sz w:val="15"/>
              </w:rPr>
              <w:t> </w:t>
            </w:r>
            <w:r>
              <w:rPr>
                <w:color w:val="231F20"/>
                <w:sz w:val="15"/>
              </w:rPr>
              <w:t>grade and</w:t>
            </w:r>
            <w:r>
              <w:rPr>
                <w:color w:val="231F20"/>
                <w:spacing w:val="-4"/>
                <w:sz w:val="15"/>
              </w:rPr>
              <w:t> </w:t>
            </w:r>
            <w:r>
              <w:rPr>
                <w:color w:val="231F20"/>
                <w:sz w:val="15"/>
              </w:rPr>
              <w:t>tonnage</w:t>
            </w:r>
          </w:p>
          <w:p>
            <w:pPr>
              <w:pStyle w:val="TableParagraph"/>
              <w:spacing w:line="161" w:lineRule="exact" w:before="63"/>
              <w:ind w:right="189"/>
              <w:jc w:val="right"/>
              <w:rPr>
                <w:sz w:val="14"/>
              </w:rPr>
            </w:pPr>
            <w:r>
              <w:rPr>
                <w:color w:val="231F20"/>
                <w:sz w:val="14"/>
              </w:rPr>
              <w:t>Average 34.3 Mt</w:t>
            </w:r>
          </w:p>
          <w:p>
            <w:pPr>
              <w:pStyle w:val="TableParagraph"/>
              <w:spacing w:line="161" w:lineRule="exact" w:before="0"/>
              <w:ind w:right="240"/>
              <w:jc w:val="right"/>
              <w:rPr>
                <w:sz w:val="14"/>
              </w:rPr>
            </w:pPr>
            <w:r>
              <w:rPr>
                <w:color w:val="231F20"/>
                <w:sz w:val="14"/>
              </w:rPr>
              <w:t>Median 148 Mt</w:t>
            </w:r>
          </w:p>
          <w:p>
            <w:pPr>
              <w:pStyle w:val="TableParagraph"/>
              <w:spacing w:line="169" w:lineRule="exact" w:before="42"/>
              <w:ind w:right="477"/>
              <w:jc w:val="right"/>
              <w:rPr>
                <w:sz w:val="15"/>
              </w:rPr>
            </w:pPr>
            <w:r>
              <w:rPr>
                <w:color w:val="231F20"/>
                <w:sz w:val="15"/>
              </w:rPr>
              <w:t>1.6% Cu</w:t>
            </w:r>
          </w:p>
          <w:p>
            <w:pPr>
              <w:pStyle w:val="TableParagraph"/>
              <w:tabs>
                <w:tab w:pos="1230" w:val="left" w:leader="none"/>
              </w:tabs>
              <w:spacing w:line="186" w:lineRule="exact" w:before="0"/>
              <w:ind w:right="494"/>
              <w:jc w:val="right"/>
              <w:rPr>
                <w:sz w:val="15"/>
              </w:rPr>
            </w:pPr>
            <w:r>
              <w:rPr>
                <w:color w:val="231F20"/>
                <w:spacing w:val="-11"/>
                <w:w w:val="100"/>
                <w:sz w:val="13"/>
                <w:shd w:fill="FFFFFF" w:color="auto" w:val="clear"/>
              </w:rPr>
              <w:t> </w:t>
            </w:r>
            <w:r>
              <w:rPr>
                <w:color w:val="231F20"/>
                <w:sz w:val="13"/>
                <w:shd w:fill="FFFFFF" w:color="auto" w:val="clear"/>
              </w:rPr>
              <w:t>Basalt sill/flow</w:t>
            </w:r>
            <w:r>
              <w:rPr>
                <w:color w:val="231F20"/>
                <w:sz w:val="13"/>
              </w:rPr>
              <w:tab/>
            </w:r>
            <w:r>
              <w:rPr>
                <w:color w:val="231F20"/>
                <w:position w:val="4"/>
                <w:sz w:val="15"/>
              </w:rPr>
              <w:t>2.6%</w:t>
            </w:r>
            <w:r>
              <w:rPr>
                <w:color w:val="231F20"/>
                <w:spacing w:val="-1"/>
                <w:position w:val="4"/>
                <w:sz w:val="15"/>
              </w:rPr>
              <w:t> </w:t>
            </w:r>
            <w:r>
              <w:rPr>
                <w:color w:val="231F20"/>
                <w:position w:val="4"/>
                <w:sz w:val="15"/>
              </w:rPr>
              <w:t>Zn</w:t>
            </w:r>
          </w:p>
          <w:p>
            <w:pPr>
              <w:pStyle w:val="TableParagraph"/>
              <w:spacing w:line="152" w:lineRule="exact" w:before="0"/>
              <w:ind w:right="402"/>
              <w:jc w:val="right"/>
              <w:rPr>
                <w:sz w:val="15"/>
              </w:rPr>
            </w:pPr>
            <w:r>
              <w:rPr>
                <w:color w:val="231F20"/>
                <w:sz w:val="15"/>
              </w:rPr>
              <w:t>0.36% Pb</w:t>
            </w:r>
          </w:p>
          <w:p>
            <w:pPr>
              <w:pStyle w:val="TableParagraph"/>
              <w:spacing w:line="163" w:lineRule="exact" w:before="0"/>
              <w:ind w:right="460"/>
              <w:jc w:val="right"/>
              <w:rPr>
                <w:sz w:val="15"/>
              </w:rPr>
            </w:pPr>
            <w:r>
              <w:rPr>
                <w:color w:val="231F20"/>
                <w:sz w:val="15"/>
              </w:rPr>
              <w:t>29 g/t Ag</w:t>
            </w:r>
          </w:p>
          <w:p>
            <w:pPr>
              <w:pStyle w:val="TableParagraph"/>
              <w:tabs>
                <w:tab w:pos="3771" w:val="left" w:leader="none"/>
              </w:tabs>
              <w:spacing w:line="142" w:lineRule="exact" w:before="0"/>
              <w:ind w:right="331"/>
              <w:jc w:val="right"/>
              <w:rPr>
                <w:sz w:val="15"/>
              </w:rPr>
            </w:pPr>
            <w:r>
              <w:rPr>
                <w:color w:val="231F20"/>
                <w:w w:val="95"/>
                <w:position w:val="1"/>
                <w:sz w:val="15"/>
              </w:rPr>
              <w:t>Laminated</w:t>
            </w:r>
            <w:r>
              <w:rPr>
                <w:color w:val="231F20"/>
                <w:spacing w:val="-20"/>
                <w:w w:val="95"/>
                <w:position w:val="1"/>
                <w:sz w:val="15"/>
              </w:rPr>
              <w:t> </w:t>
            </w:r>
            <w:r>
              <w:rPr>
                <w:color w:val="231F20"/>
                <w:w w:val="95"/>
                <w:position w:val="1"/>
                <w:sz w:val="15"/>
              </w:rPr>
              <w:t>argillite</w:t>
              <w:tab/>
            </w:r>
            <w:r>
              <w:rPr>
                <w:color w:val="231F20"/>
                <w:sz w:val="15"/>
              </w:rPr>
              <w:t>&lt;0.9 g/t</w:t>
            </w:r>
            <w:r>
              <w:rPr>
                <w:color w:val="231F20"/>
                <w:spacing w:val="-9"/>
                <w:sz w:val="15"/>
              </w:rPr>
              <w:t> </w:t>
            </w:r>
            <w:r>
              <w:rPr>
                <w:color w:val="231F20"/>
                <w:sz w:val="15"/>
              </w:rPr>
              <w:t>Au</w:t>
            </w:r>
          </w:p>
          <w:p>
            <w:pPr>
              <w:pStyle w:val="TableParagraph"/>
              <w:tabs>
                <w:tab w:pos="2907" w:val="left" w:leader="none"/>
              </w:tabs>
              <w:spacing w:line="164" w:lineRule="exact" w:before="0"/>
              <w:ind w:left="119"/>
              <w:rPr>
                <w:sz w:val="13"/>
              </w:rPr>
            </w:pPr>
            <w:r>
              <w:rPr>
                <w:color w:val="231F20"/>
                <w:sz w:val="15"/>
              </w:rPr>
              <w:t>and</w:t>
            </w:r>
            <w:r>
              <w:rPr>
                <w:color w:val="231F20"/>
                <w:spacing w:val="-5"/>
                <w:sz w:val="15"/>
              </w:rPr>
              <w:t> </w:t>
            </w:r>
            <w:r>
              <w:rPr>
                <w:color w:val="231F20"/>
                <w:sz w:val="15"/>
              </w:rPr>
              <w:t>shale</w:t>
              <w:tab/>
            </w:r>
            <w:r>
              <w:rPr>
                <w:color w:val="231F20"/>
                <w:position w:val="-2"/>
                <w:sz w:val="13"/>
                <w:u w:val="single" w:color="231F20"/>
              </w:rPr>
              <w:t>200</w:t>
            </w:r>
            <w:r>
              <w:rPr>
                <w:color w:val="231F20"/>
                <w:spacing w:val="-1"/>
                <w:position w:val="-2"/>
                <w:sz w:val="13"/>
                <w:u w:val="single" w:color="231F20"/>
              </w:rPr>
              <w:t> </w:t>
            </w:r>
            <w:r>
              <w:rPr>
                <w:color w:val="231F20"/>
                <w:position w:val="-2"/>
                <w:sz w:val="13"/>
                <w:u w:val="single" w:color="231F20"/>
              </w:rPr>
              <w:t>m</w:t>
            </w:r>
            <w:r>
              <w:rPr>
                <w:color w:val="231F20"/>
                <w:spacing w:val="-5"/>
                <w:position w:val="-2"/>
                <w:sz w:val="13"/>
                <w:u w:val="single" w:color="231F20"/>
              </w:rPr>
              <w:t> </w:t>
            </w:r>
          </w:p>
          <w:p>
            <w:pPr>
              <w:pStyle w:val="TableParagraph"/>
              <w:spacing w:line="240" w:lineRule="auto" w:before="2"/>
              <w:rPr>
                <w:rFonts w:ascii="Times New Roman"/>
                <w:sz w:val="17"/>
              </w:rPr>
            </w:pPr>
          </w:p>
          <w:p>
            <w:pPr>
              <w:pStyle w:val="TableParagraph"/>
              <w:tabs>
                <w:tab w:pos="2986" w:val="left" w:leader="none"/>
              </w:tabs>
              <w:spacing w:line="141" w:lineRule="auto" w:before="0"/>
              <w:ind w:left="549" w:right="487" w:hanging="37"/>
              <w:rPr>
                <w:sz w:val="13"/>
              </w:rPr>
            </w:pPr>
            <w:r>
              <w:rPr>
                <w:color w:val="231F20"/>
                <w:sz w:val="13"/>
              </w:rPr>
              <w:t>Pyrrhotite-pyrite-magnetite</w:t>
              <w:tab/>
            </w:r>
            <w:r>
              <w:rPr>
                <w:color w:val="231F20"/>
                <w:position w:val="-5"/>
                <w:sz w:val="13"/>
              </w:rPr>
              <w:t>Chert-carbonate-sulphide </w:t>
            </w:r>
            <w:r>
              <w:rPr>
                <w:color w:val="231F20"/>
                <w:sz w:val="13"/>
              </w:rPr>
              <w:t>transition zone</w:t>
            </w:r>
          </w:p>
          <w:p>
            <w:pPr>
              <w:pStyle w:val="TableParagraph"/>
              <w:tabs>
                <w:tab w:pos="2987" w:val="left" w:leader="none"/>
              </w:tabs>
              <w:spacing w:line="240" w:lineRule="auto" w:before="23"/>
              <w:ind w:left="505"/>
              <w:rPr>
                <w:sz w:val="13"/>
              </w:rPr>
            </w:pPr>
            <w:r>
              <w:rPr>
                <w:color w:val="231F20"/>
                <w:sz w:val="13"/>
              </w:rPr>
              <w:t>Pyrrhotite-pyrite-chalcopyrite </w:t>
            </w:r>
            <w:r>
              <w:rPr>
                <w:color w:val="231F20"/>
                <w:spacing w:val="2"/>
                <w:sz w:val="13"/>
              </w:rPr>
              <w:t> </w:t>
            </w:r>
            <w:r>
              <w:rPr>
                <w:color w:val="231F20"/>
                <w:sz w:val="13"/>
              </w:rPr>
              <w:t>zone</w:t>
              <w:tab/>
              <w:t>Pyrite-sphalerite zone</w:t>
            </w:r>
          </w:p>
          <w:p>
            <w:pPr>
              <w:pStyle w:val="TableParagraph"/>
              <w:tabs>
                <w:tab w:pos="2989" w:val="left" w:leader="none"/>
              </w:tabs>
              <w:spacing w:line="134" w:lineRule="auto" w:before="58"/>
              <w:ind w:left="546" w:right="803" w:hanging="37"/>
              <w:rPr>
                <w:sz w:val="13"/>
              </w:rPr>
            </w:pPr>
            <w:r>
              <w:rPr>
                <w:color w:val="231F20"/>
                <w:sz w:val="13"/>
              </w:rPr>
              <w:t>Pyrrhotite-chalcopyrite-pyrite-</w:t>
              <w:tab/>
            </w:r>
            <w:r>
              <w:rPr>
                <w:color w:val="231F20"/>
                <w:position w:val="-6"/>
                <w:sz w:val="13"/>
              </w:rPr>
              <w:t>Massive pyrite zone </w:t>
            </w:r>
            <w:r>
              <w:rPr>
                <w:color w:val="231F20"/>
                <w:sz w:val="13"/>
              </w:rPr>
              <w:t>sphalerite stockwork zone</w:t>
            </w:r>
          </w:p>
        </w:tc>
      </w:tr>
    </w:tbl>
    <w:p>
      <w:pPr>
        <w:pStyle w:val="BodyText"/>
      </w:pPr>
    </w:p>
    <w:p>
      <w:pPr>
        <w:pStyle w:val="BodyText"/>
      </w:pPr>
    </w:p>
    <w:p>
      <w:pPr>
        <w:pStyle w:val="BodyText"/>
        <w:spacing w:before="2"/>
        <w:rPr>
          <w:sz w:val="28"/>
        </w:rPr>
      </w:pPr>
    </w:p>
    <w:p>
      <w:pPr>
        <w:spacing w:after="0"/>
        <w:rPr>
          <w:sz w:val="28"/>
        </w:rPr>
        <w:sectPr>
          <w:pgSz w:w="12240" w:h="15840"/>
          <w:pgMar w:header="673" w:footer="779" w:top="1000" w:bottom="960" w:left="0" w:right="0"/>
        </w:sectPr>
      </w:pPr>
    </w:p>
    <w:p>
      <w:pPr>
        <w:pStyle w:val="BodyText"/>
        <w:spacing w:line="230" w:lineRule="auto" w:before="122"/>
        <w:ind w:left="1100" w:right="1"/>
        <w:jc w:val="both"/>
      </w:pPr>
      <w:r>
        <w:rPr/>
        <w:drawing>
          <wp:anchor distT="0" distB="0" distL="0" distR="0" allowOverlap="1" layoutInCell="1" locked="0" behindDoc="1" simplePos="0" relativeHeight="268253567">
            <wp:simplePos x="0" y="0"/>
            <wp:positionH relativeFrom="page">
              <wp:posOffset>702189</wp:posOffset>
            </wp:positionH>
            <wp:positionV relativeFrom="paragraph">
              <wp:posOffset>-1023359</wp:posOffset>
            </wp:positionV>
            <wp:extent cx="179905" cy="471487"/>
            <wp:effectExtent l="0" t="0" r="0" b="0"/>
            <wp:wrapNone/>
            <wp:docPr id="23" name="image29.png" descr=""/>
            <wp:cNvGraphicFramePr>
              <a:graphicFrameLocks noChangeAspect="1"/>
            </wp:cNvGraphicFramePr>
            <a:graphic>
              <a:graphicData uri="http://schemas.openxmlformats.org/drawingml/2006/picture">
                <pic:pic>
                  <pic:nvPicPr>
                    <pic:cNvPr id="24" name="image29.png"/>
                    <pic:cNvPicPr/>
                  </pic:nvPicPr>
                  <pic:blipFill>
                    <a:blip r:embed="rId38" cstate="print"/>
                    <a:stretch>
                      <a:fillRect/>
                    </a:stretch>
                  </pic:blipFill>
                  <pic:spPr>
                    <a:xfrm>
                      <a:off x="0" y="0"/>
                      <a:ext cx="179905" cy="471487"/>
                    </a:xfrm>
                    <a:prstGeom prst="rect">
                      <a:avLst/>
                    </a:prstGeom>
                  </pic:spPr>
                </pic:pic>
              </a:graphicData>
            </a:graphic>
          </wp:anchor>
        </w:drawing>
      </w:r>
      <w:r>
        <w:rPr/>
        <w:drawing>
          <wp:anchor distT="0" distB="0" distL="0" distR="0" allowOverlap="1" layoutInCell="1" locked="0" behindDoc="1" simplePos="0" relativeHeight="268253591">
            <wp:simplePos x="0" y="0"/>
            <wp:positionH relativeFrom="page">
              <wp:posOffset>1516081</wp:posOffset>
            </wp:positionH>
            <wp:positionV relativeFrom="paragraph">
              <wp:posOffset>-1146028</wp:posOffset>
            </wp:positionV>
            <wp:extent cx="177679" cy="228314"/>
            <wp:effectExtent l="0" t="0" r="0" b="0"/>
            <wp:wrapNone/>
            <wp:docPr id="25" name="image30.png" descr=""/>
            <wp:cNvGraphicFramePr>
              <a:graphicFrameLocks noChangeAspect="1"/>
            </wp:cNvGraphicFramePr>
            <a:graphic>
              <a:graphicData uri="http://schemas.openxmlformats.org/drawingml/2006/picture">
                <pic:pic>
                  <pic:nvPicPr>
                    <pic:cNvPr id="26" name="image30.png"/>
                    <pic:cNvPicPr/>
                  </pic:nvPicPr>
                  <pic:blipFill>
                    <a:blip r:embed="rId39" cstate="print"/>
                    <a:stretch>
                      <a:fillRect/>
                    </a:stretch>
                  </pic:blipFill>
                  <pic:spPr>
                    <a:xfrm>
                      <a:off x="0" y="0"/>
                      <a:ext cx="177679" cy="228314"/>
                    </a:xfrm>
                    <a:prstGeom prst="rect">
                      <a:avLst/>
                    </a:prstGeom>
                  </pic:spPr>
                </pic:pic>
              </a:graphicData>
            </a:graphic>
          </wp:anchor>
        </w:drawing>
      </w:r>
      <w:r>
        <w:rPr/>
        <w:drawing>
          <wp:anchor distT="0" distB="0" distL="0" distR="0" allowOverlap="1" layoutInCell="1" locked="0" behindDoc="1" simplePos="0" relativeHeight="268253615">
            <wp:simplePos x="0" y="0"/>
            <wp:positionH relativeFrom="page">
              <wp:posOffset>2714631</wp:posOffset>
            </wp:positionH>
            <wp:positionV relativeFrom="paragraph">
              <wp:posOffset>-955186</wp:posOffset>
            </wp:positionV>
            <wp:extent cx="175847" cy="104775"/>
            <wp:effectExtent l="0" t="0" r="0" b="0"/>
            <wp:wrapNone/>
            <wp:docPr id="27" name="image31.png" descr=""/>
            <wp:cNvGraphicFramePr>
              <a:graphicFrameLocks noChangeAspect="1"/>
            </wp:cNvGraphicFramePr>
            <a:graphic>
              <a:graphicData uri="http://schemas.openxmlformats.org/drawingml/2006/picture">
                <pic:pic>
                  <pic:nvPicPr>
                    <pic:cNvPr id="28" name="image31.png"/>
                    <pic:cNvPicPr/>
                  </pic:nvPicPr>
                  <pic:blipFill>
                    <a:blip r:embed="rId40" cstate="print"/>
                    <a:stretch>
                      <a:fillRect/>
                    </a:stretch>
                  </pic:blipFill>
                  <pic:spPr>
                    <a:xfrm>
                      <a:off x="0" y="0"/>
                      <a:ext cx="175847" cy="104775"/>
                    </a:xfrm>
                    <a:prstGeom prst="rect">
                      <a:avLst/>
                    </a:prstGeom>
                  </pic:spPr>
                </pic:pic>
              </a:graphicData>
            </a:graphic>
          </wp:anchor>
        </w:drawing>
      </w:r>
      <w:r>
        <w:rPr/>
        <w:pict>
          <v:group style="position:absolute;margin-left:228.462006pt;margin-top:-51.716003pt;width:4.3pt;height:4.9pt;mso-position-horizontal-relative:page;mso-position-vertical-relative:paragraph;z-index:-181816" coordorigin="4569,-1034" coordsize="86,98">
            <v:shape style="position:absolute;left:4579;top:-1035;width:76;height:98" coordorigin="4579,-1034" coordsize="76,98" path="m4655,-1034l4579,-986,4655,-937,4655,-1034xe" filled="true" fillcolor="#231f20" stroked="false">
              <v:path arrowok="t"/>
              <v:fill type="solid"/>
            </v:shape>
            <v:line style="position:absolute" from="4579,-1034" to="4579,-937" stroked="true" strokeweight="1.012pt" strokecolor="#231f20">
              <v:stroke dashstyle="solid"/>
            </v:line>
            <w10:wrap type="none"/>
          </v:group>
        </w:pict>
      </w:r>
      <w:r>
        <w:rPr/>
        <w:pict>
          <v:group style="position:absolute;margin-left:281.363007pt;margin-top:-51.716003pt;width:4.3pt;height:4.9pt;mso-position-horizontal-relative:page;mso-position-vertical-relative:paragraph;z-index:-181792" coordorigin="5627,-1034" coordsize="86,98">
            <v:shape style="position:absolute;left:5627;top:-1035;width:76;height:98" coordorigin="5627,-1034" coordsize="76,98" path="m5627,-1034l5627,-937,5702,-986,5627,-1034xe" filled="true" fillcolor="#231f20" stroked="false">
              <v:path arrowok="t"/>
              <v:fill type="solid"/>
            </v:shape>
            <v:line style="position:absolute" from="5702,-1034" to="5702,-937" stroked="true" strokeweight="1.012pt" strokecolor="#231f20">
              <v:stroke dashstyle="solid"/>
            </v:line>
            <w10:wrap type="none"/>
          </v:group>
        </w:pict>
      </w:r>
      <w:r>
        <w:rPr/>
        <w:pict>
          <v:group style="position:absolute;margin-left:60.0005pt;margin-top:-178.555496pt;width:186.2pt;height:86.45pt;mso-position-horizontal-relative:page;mso-position-vertical-relative:paragraph;z-index:-181768" coordorigin="1200,-3571" coordsize="3724,1729">
            <v:shape style="position:absolute;left:1208;top:-3340;width:3713;height:1260" type="#_x0000_t75" stroked="false">
              <v:imagedata r:id="rId41" o:title=""/>
            </v:shape>
            <v:shape style="position:absolute;left:1208;top:-3340;width:922;height:129" type="#_x0000_t75" stroked="false">
              <v:imagedata r:id="rId42" o:title=""/>
            </v:shape>
            <v:shape style="position:absolute;left:3840;top:-3277;width:259;height:66" type="#_x0000_t75" stroked="false">
              <v:imagedata r:id="rId43" o:title=""/>
            </v:shape>
            <v:shape style="position:absolute;left:1208;top:-3283;width:3713;height:1200" type="#_x0000_t75" stroked="false">
              <v:imagedata r:id="rId44" o:title=""/>
            </v:shape>
            <v:shape style="position:absolute;left:4099;top:-3212;width:821;height:1132" type="#_x0000_t75" stroked="false">
              <v:imagedata r:id="rId45" o:title=""/>
            </v:shape>
            <v:shape style="position:absolute;left:1208;top:-3340;width:3713;height:1260" coordorigin="1208,-3340" coordsize="3713,1260" path="m1208,-3340l1832,-3324,2100,-3299,2254,-2841,2520,-2860,2910,-2927,3410,-3048,3779,-3190,4005,-3266,4159,-3283,4459,-3283,4718,-3274,4921,-3266,4913,-2080,1208,-2096,1208,-3340xe" filled="false" stroked="true" strokeweight=".217pt" strokecolor="#231f20">
              <v:path arrowok="t"/>
              <v:stroke dashstyle="solid"/>
            </v:shape>
            <v:shape style="position:absolute;left:1208;top:-3463;width:3705;height:205" coordorigin="1208,-3463" coordsize="3705,205" path="m4059,-3266l3786,-3266,4005,-3258,4059,-3266xm2457,-3463l2270,-3463,2092,-3438,1857,-3413,1630,-3397,2611,-3397,2756,-3373,2902,-3340,3354,-3265,4059,-3266,4167,-3283,4913,-3283,4913,-3332,3948,-3332,3535,-3340,3194,-3373,2910,-3422,2740,-3454,2457,-3463xm4913,-3283l4167,-3283,4913,-3266,4913,-3283xm1216,-3405l1208,-3340,1557,-3324,1816,-3315,2092,-3291,2189,-3348,2278,-3381,2400,-3389,2611,-3397,1403,-3397,1216,-3405xm4913,-3340l4880,-3340,4743,-3332,4913,-3332,4913,-3340xe" filled="true" fillcolor="#f9aa8f" stroked="false">
              <v:path arrowok="t"/>
              <v:fill type="solid"/>
            </v:shape>
            <v:shape style="position:absolute;left:1208;top:-3463;width:3705;height:205" coordorigin="1208,-3463" coordsize="3705,205" path="m1208,-3340l1216,-3405,1403,-3397,1630,-3397,1857,-3413,2092,-3438,2270,-3463,2457,-3463,2740,-3454,2910,-3422,3194,-3373,3535,-3340,3948,-3332,4743,-3332,4880,-3340,4913,-3340,4913,-3266,4589,-3274,4167,-3283,4005,-3258,3786,-3266,3354,-3265,3154,-3299,2902,-3340,2756,-3373,2611,-3397,2400,-3389,2278,-3381,2189,-3348,2092,-3291,1816,-3315,1557,-3324,1208,-3340xe" filled="false" stroked="true" strokeweight=".217pt" strokecolor="#231f20">
              <v:path arrowok="t"/>
              <v:stroke dashstyle="solid"/>
            </v:shape>
            <v:shape style="position:absolute;left:1208;top:-3569;width:819;height:66" coordorigin="1208,-3569" coordsize="819,66" path="m1622,-3569l1208,-3569,1216,-3503,1354,-3512,1646,-3520,1930,-3536,2003,-3561,1889,-3561,1622,-3569xm2027,-3569l1889,-3561,2003,-3561,2027,-3569xe" filled="true" fillcolor="#a25641" stroked="false">
              <v:path arrowok="t"/>
              <v:fill type="solid"/>
            </v:shape>
            <v:shape style="position:absolute;left:1208;top:-3569;width:819;height:66" coordorigin="1208,-3569" coordsize="819,66" path="m1305,-3569l1622,-3569,1889,-3561,2027,-3569,1930,-3536,1646,-3520,1354,-3512,1216,-3503,1208,-3569,1305,-3569xe" filled="false" stroked="true" strokeweight=".217pt" strokecolor="#231f20">
              <v:path arrowok="t"/>
              <v:stroke dashstyle="solid"/>
            </v:shape>
            <v:shape style="position:absolute;left:3469;top:-3545;width:1443;height:66" coordorigin="3470,-3544" coordsize="1443,66" path="m3470,-3536l3575,-3487,3697,-3487,4021,-3479,4905,-3479,4911,-3528,3835,-3528,3470,-3536xm4256,-3544l3835,-3528,4911,-3528,4912,-3536,4710,-3536,4256,-3544xm4913,-3544l4710,-3536,4912,-3536,4913,-3544xe" filled="true" fillcolor="#a25641" stroked="false">
              <v:path arrowok="t"/>
              <v:fill type="solid"/>
            </v:shape>
            <v:shape style="position:absolute;left:3469;top:-3545;width:1443;height:66" coordorigin="3470,-3544" coordsize="1443,66" path="m3470,-3536l3835,-3528,4256,-3544,4710,-3536,4913,-3544,4905,-3479,4021,-3479,3697,-3487,3575,-3487,3470,-3536xe" filled="false" stroked="true" strokeweight=".217pt" strokecolor="#231f20">
              <v:path arrowok="t"/>
              <v:stroke dashstyle="solid"/>
            </v:shape>
            <v:shape style="position:absolute;left:1208;top:-2097;width:3705;height:254" type="#_x0000_t75" stroked="false">
              <v:imagedata r:id="rId46" o:title=""/>
            </v:shape>
            <v:shape style="position:absolute;left:2067;top:-3179;width:1234;height:1328" coordorigin="2067,-3178" coordsize="1234,1328" path="m2149,-3178l2144,-3000,2181,-2857,2189,-2710,2181,-2571,2140,-2415,2116,-2325,2116,-2244,2092,-2162,2084,-2055,2067,-1867,2100,-1851,2116,-1941,2165,-2047,2205,-2154,2262,-2284,2302,-2481,2367,-2587,2444,-2653,2689,-2743,2969,-2841,2254,-2841,2149,-3178xm3301,-3017l2254,-2841,2969,-2841,3044,-2867,3301,-3017xe" filled="true" fillcolor="#fffcd5" stroked="false">
              <v:path arrowok="t"/>
              <v:fill type="solid"/>
            </v:shape>
            <v:shape style="position:absolute;left:2067;top:-3179;width:1234;height:1328" coordorigin="2067,-3178" coordsize="1234,1328" path="m2149,-3178l2144,-3000,2181,-2857,2189,-2710,2181,-2571,2140,-2415,2116,-2325,2116,-2244,2092,-2162,2084,-2055,2067,-1867,2100,-1851,2116,-1941,2165,-2047,2205,-2154,2262,-2284,2302,-2481,2367,-2587,2444,-2653,2689,-2743,3044,-2867,3301,-3017,2254,-2841,2149,-3178xe" filled="false" stroked="true" strokeweight=".217pt" strokecolor="#231f20">
              <v:path arrowok="t"/>
              <v:stroke dashstyle="solid"/>
            </v:shape>
            <v:shape style="position:absolute;left:1861;top:-3461;width:1455;height:172" coordorigin="1861,-3460" coordsize="1455,172" path="m2489,-3460l2295,-3460,2236,-3454,2143,-3437,2102,-3413,2066,-3395,1972,-3395,1943,-3378,1908,-3360,1943,-3354,1996,-3348,2014,-3330,1978,-3324,1861,-3318,1896,-3306,1984,-3301,2072,-3289,2113,-3289,2154,-3336,2219,-3360,2254,-3378,2377,-3378,2524,-3389,3058,-3389,2935,-3419,2823,-3431,2735,-3454,2606,-3454,2489,-3460xm3058,-3389l2594,-3389,2747,-3372,2858,-3348,2958,-3336,3040,-3312,3099,-3318,3312,-3318,3304,-3330,3245,-3336,3199,-3354,3140,-3354,3058,-3389xm3245,-3318l3099,-3318,3187,-3312,3245,-3318xm3312,-3318l3245,-3318,3316,-3312,3312,-3318xe" filled="true" fillcolor="#f58465" stroked="false">
              <v:path arrowok="t"/>
              <v:fill type="solid"/>
            </v:shape>
            <v:shape style="position:absolute;left:1861;top:-3461;width:1455;height:172" coordorigin="1861,-3460" coordsize="1455,172" path="m2236,-3454l2143,-3437,2102,-3413,2066,-3395,1972,-3395,1943,-3378,1908,-3360,1943,-3354,1996,-3348,2014,-3330,1978,-3324,1861,-3318,1896,-3306,1984,-3301,2072,-3289,2113,-3289,2154,-3336,2219,-3360,2254,-3378,2377,-3378,2524,-3389,2594,-3389,2747,-3372,2858,-3348,2958,-3336,3040,-3312,3099,-3318,3187,-3312,3245,-3318,3316,-3312,3304,-3330,3245,-3336,3199,-3354,3140,-3354,3058,-3389,2935,-3419,2823,-3431,2735,-3454,2606,-3454,2489,-3460,2295,-3460,2236,-3454xe" filled="false" stroked="true" strokeweight=".217pt" strokecolor="#231f20">
              <v:path arrowok="t"/>
              <v:stroke dashstyle="solid"/>
            </v:shape>
            <v:shape style="position:absolute;left:1215;top:-3408;width:259;height:77" coordorigin="1216,-3407" coordsize="259,77" path="m1216,-3407l1216,-3342,1274,-3336,1357,-3330,1450,-3336,1474,-3342,1427,-3354,1392,-3366,1415,-3372,1427,-3389,1357,-3395,1298,-3401,1216,-3407xe" filled="true" fillcolor="#fcd3c1" stroked="false">
              <v:path arrowok="t"/>
              <v:fill type="solid"/>
            </v:shape>
            <v:shape style="position:absolute;left:1215;top:-3408;width:259;height:77" coordorigin="1216,-3407" coordsize="259,77" path="m1216,-3407l1298,-3401,1357,-3395,1427,-3389,1415,-3372,1392,-3366,1427,-3354,1474,-3342,1450,-3336,1357,-3330,1274,-3336,1216,-3342,1216,-3407xe" filled="false" stroked="true" strokeweight=".217pt" strokecolor="#231f20">
              <v:path arrowok="t"/>
              <v:stroke dashstyle="solid"/>
            </v:shape>
            <v:shape style="position:absolute;left:4506;top:-3337;width:411;height:72" coordorigin="4507,-3336" coordsize="411,72" path="m4624,-3324l4577,-3312,4530,-3312,4507,-3301,4589,-3301,4571,-3289,4659,-3283,4695,-3271,4835,-3265,4917,-3265,4913,-3318,4777,-3318,4624,-3324xm4912,-3336l4829,-3330,4777,-3318,4913,-3318,4912,-3336xe" filled="true" fillcolor="#fcd3c1" stroked="false">
              <v:path arrowok="t"/>
              <v:fill type="solid"/>
            </v:shape>
            <v:shape style="position:absolute;left:4506;top:-3337;width:411;height:72" coordorigin="4507,-3336" coordsize="411,72" path="m4912,-3336l4829,-3330,4777,-3318,4624,-3324,4577,-3312,4530,-3312,4507,-3301,4589,-3301,4571,-3289,4659,-3283,4695,-3271,4835,-3265,4917,-3265,4912,-3336xe" filled="false" stroked="true" strokeweight=".217pt" strokecolor="#231f20">
              <v:path arrowok="t"/>
              <v:stroke dashstyle="solid"/>
            </v:shape>
            <v:shape style="position:absolute;left:3086;top:-2708;width:1252;height:358" coordorigin="3087,-2707" coordsize="1252,358" path="m4338,-2707l3087,-2707,3087,-2350,3976,-2350,3969,-2505,4338,-2521,4338,-2707xe" filled="true" fillcolor="#ffffff" stroked="false">
              <v:path arrowok="t"/>
              <v:fill type="solid"/>
            </v:shape>
            <v:shape style="position:absolute;left:3224;top:-3290;width:1686;height:317" coordorigin="3225,-3290" coordsize="1686,317" path="m3391,-3019l3302,-3019,3225,-2973,3356,-3009,3391,-3019xm4390,-3290l4155,-3283,3957,-3253,3818,-3209,3598,-3127,3327,-3046,3225,-3001,3302,-3019,3391,-3019,3635,-3090,3760,-3142,3869,-3172,4001,-3201,4126,-3231,4908,-3231,4903,-3275,4390,-3290xm4908,-3231l4294,-3231,4756,-3216,4910,-3216,4908,-3231xe" filled="true" fillcolor="#939598" stroked="false">
              <v:path arrowok="t"/>
              <v:fill type="solid"/>
            </v:shape>
            <v:shape style="position:absolute;left:3224;top:-3290;width:1686;height:317" coordorigin="3225,-3290" coordsize="1686,317" path="m3225,-2973l3356,-3009,3510,-3053,3635,-3090,3760,-3142,3869,-3172,4001,-3201,4126,-3231,4294,-3231,4529,-3223,4756,-3216,4910,-3216,4903,-3275,4390,-3290,4155,-3283,3957,-3253,3818,-3209,3598,-3127,3327,-3046,3225,-3001,3302,-3019,3225,-2973xe" filled="false" stroked="true" strokeweight=".217pt" strokecolor="#231f20">
              <v:path arrowok="t"/>
              <v:stroke dashstyle="solid"/>
            </v:shape>
            <v:shape style="position:absolute;left:1202;top:-3364;width:968;height:119" coordorigin="1202,-3364" coordsize="968,119" path="m2142,-3290l1605,-3290,1913,-3275,2125,-3246,2142,-3290xm1209,-3349l1202,-3283,1385,-3290,2142,-3290,2156,-3327,1700,-3327,1488,-3334,1356,-3334,1209,-3349xm2169,-3364l1700,-3327,2156,-3327,2169,-3364xe" filled="true" fillcolor="#939598" stroked="false">
              <v:path arrowok="t"/>
              <v:fill type="solid"/>
            </v:shape>
            <v:shape style="position:absolute;left:1202;top:-3364;width:968;height:119" coordorigin="1202,-3364" coordsize="968,119" path="m2125,-3246l1913,-3275,1605,-3290,1385,-3290,1202,-3283,1209,-3349,1356,-3334,1488,-3334,1700,-3327,1884,-3342,2081,-3356,2169,-3364,2125,-3246xe" filled="false" stroked="true" strokeweight=".217pt" strokecolor="#231f20">
              <v:path arrowok="t"/>
              <v:stroke dashstyle="solid"/>
            </v:shape>
            <v:shape style="position:absolute;left:1888;top:-3388;width:2108;height:547" coordorigin="1889,-3387" coordsize="2108,547" path="m2266,-3379l1889,-3314,2126,-3268,2254,-2841,2375,-2849,2505,-2864,2734,-2894,2933,-2927,3154,-2988,3381,-3053,3600,-3111,3835,-3209,3992,-3264,3797,-3264,3607,-3274,3306,-3274,3120,-3307,2702,-3376,2401,-3376,2266,-3379xm3997,-3266l3797,-3264,3992,-3264,3997,-3266xm3557,-3276l3306,-3274,3607,-3274,3557,-3276xm2631,-3387l2401,-3376,2702,-3376,2631,-3387xe" filled="true" fillcolor="#fed09e" stroked="false">
              <v:path arrowok="t"/>
              <v:fill type="solid"/>
            </v:shape>
            <v:shape style="position:absolute;left:0;top:4168;width:2108;height:547" coordorigin="0,4169" coordsize="2108,547" path="m1889,-3314l2266,-3379,2401,-3376,2631,-3388,2908,-3343,3120,-3307,3306,-3274,3557,-3276,3797,-3264,3997,-3266,3835,-3209,3600,-3111,3381,-3054,3154,-2988,2933,-2927,2734,-2894,2505,-2864,2375,-2849,2254,-2841,2126,-3268,1889,-3314xm2133,-3201l2155,-3164,2133,-3201xe" filled="false" stroked="true" strokeweight=".217pt" strokecolor="#231f20">
              <v:path arrowok="t"/>
              <v:stroke dashstyle="solid"/>
            </v:shape>
            <v:shape style="position:absolute;left:2162;top:-2935;width:689;height:681" coordorigin="2162,-2935" coordsize="689,681" path="m2221,-2935l2228,-2839,2228,-2750,2213,-2669,2213,-2550,2191,-2425,2177,-2321,2162,-2255,2213,-2306,2250,-2425,2301,-2543,2353,-2639,2470,-2691,2536,-2750,2631,-2809,2770,-2868,2851,-2920,2221,-2935xe" filled="true" fillcolor="#47a5ae" stroked="false">
              <v:path arrowok="t"/>
              <v:fill type="solid"/>
            </v:shape>
            <v:shape style="position:absolute;left:2162;top:-2935;width:689;height:681" coordorigin="2162,-2935" coordsize="689,681" path="m2162,-2255l2177,-2321,2191,-2425,2213,-2550,2213,-2669,2228,-2750,2228,-2839,2221,-2935,2851,-2920,2770,-2868,2631,-2809,2536,-2750,2470,-2691,2353,-2639,2301,-2543,2250,-2425,2213,-2306,2162,-2255xe" filled="false" stroked="true" strokeweight=".217pt" strokecolor="#231f20">
              <v:path arrowok="t"/>
              <v:stroke dashstyle="solid"/>
            </v:shape>
            <v:shape style="position:absolute;left:2154;top:-3172;width:1092;height:622" coordorigin="2155,-3172" coordsize="1092,622" path="m2235,-3172l2155,-3164,2191,-3075,2213,-2972,2235,-2913,2235,-2846,2257,-2750,2250,-2683,2250,-2573,2279,-2550,2279,-2676,2345,-2743,2404,-2772,2501,-2772,2506,-2780,2602,-2831,2675,-2876,3012,-2942,3210,-3009,3247,-3024,3247,-3046,3085,-3083,2997,-3083,2851,-3090,2726,-3112,2602,-3127,2455,-3142,2331,-3149,2235,-3172xm2501,-2772l2404,-2772,2426,-2757,2411,-2728,2419,-2706,2463,-2720,2501,-2772xe" filled="true" fillcolor="#f58345" stroked="false">
              <v:path arrowok="t"/>
              <v:fill type="solid"/>
            </v:shape>
            <v:shape style="position:absolute;left:2154;top:-3172;width:1092;height:622" coordorigin="2155,-3172" coordsize="1092,622" path="m2155,-3164l2191,-3075,2213,-2972,2235,-2913,2235,-2846,2257,-2750,2250,-2683,2250,-2573,2279,-2550,2279,-2676,2316,-2713,2345,-2743,2404,-2772,2426,-2757,2411,-2728,2419,-2706,2463,-2720,2506,-2780,2602,-2831,2675,-2876,2841,-2908,3012,-2942,3210,-3009,3247,-3024,3247,-3046,3181,-3061,3085,-3083,2997,-3083,2851,-3090,2726,-3112,2602,-3127,2455,-3142,2331,-3149,2235,-3172,2155,-3164xe" filled="false" stroked="true" strokeweight=".217pt" strokecolor="#231f20">
              <v:path arrowok="t"/>
              <v:stroke dashstyle="solid"/>
            </v:shape>
            <v:shape style="position:absolute;left:2066;top:-3305;width:1676;height:369" coordorigin="2067,-3305" coordsize="1676,369" path="m3621,-3120l2221,-3120,2243,-3098,2338,-3083,2499,-3083,2609,-3068,2704,-2972,2858,-2950,2992,-2936,3176,-2990,3263,-3018,3351,-3041,3459,-3075,3597,-3109,3621,-3120xm2441,-3305l2213,-3297,2067,-3275,2184,-3075,2221,-3120,3621,-3120,3742,-3172,3672,-3186,3562,-3186,3452,-3194,3375,-3216,3195,-3216,3100,-3246,2931,-3246,2770,-3275,2631,-3297,2441,-3305xm3349,-3223l3195,-3216,3375,-3216,3349,-3223xe" filled="true" fillcolor="#faa74a" stroked="false">
              <v:path arrowok="t"/>
              <v:fill type="solid"/>
            </v:shape>
            <v:shape style="position:absolute;left:2066;top:-3305;width:1676;height:369" coordorigin="2067,-3305" coordsize="1676,369" path="m2067,-3275l2213,-3297,2441,-3305,2631,-3297,2770,-3275,2931,-3246,3100,-3246,3195,-3216,3349,-3223,3452,-3194,3562,-3186,3672,-3186,3742,-3172,3597,-3109,3459,-3075,3351,-3041,3263,-3018,3176,-2990,2992,-2936,2858,-2950,2704,-2972,2609,-3068,2499,-3083,2338,-3083,2243,-3098,2221,-3120,2184,-3075,2067,-3275xe" filled="false" stroked="true" strokeweight=".217pt" strokecolor="#231f20">
              <v:path arrowok="t"/>
              <v:stroke dashstyle="solid"/>
            </v:shape>
            <w10:wrap type="none"/>
          </v:group>
        </w:pict>
      </w:r>
      <w:r>
        <w:rPr/>
        <w:pict>
          <v:group style="position:absolute;margin-left:60.40538pt;margin-top:382.278992pt;width:185.25pt;height:8pt;mso-position-horizontal-relative:page;mso-position-vertical-relative:page;z-index:-181744" coordorigin="1208,7646" coordsize="3705,160">
            <v:shape style="position:absolute;left:1208;top:7645;width:3705;height:160" type="#_x0000_t75" stroked="false">
              <v:imagedata r:id="rId47" o:title=""/>
            </v:shape>
            <v:shape style="position:absolute;left:1208;top:7645;width:3705;height:160" type="#_x0000_t75" stroked="false">
              <v:imagedata r:id="rId48" o:title=""/>
            </v:shape>
            <w10:wrap type="none"/>
          </v:group>
        </w:pict>
      </w:r>
      <w:r>
        <w:rPr/>
        <w:pict>
          <v:group style="position:absolute;margin-left:62.466499pt;margin-top:224.003998pt;width:170.65pt;height:148.65pt;mso-position-horizontal-relative:page;mso-position-vertical-relative:page;z-index:-181720" coordorigin="1249,4480" coordsize="3413,2973">
            <v:rect style="position:absolute;left:1435;top:4485;width:3219;height:2060" filled="true" fillcolor="#e6e7e8" stroked="false">
              <v:fill type="solid"/>
            </v:rect>
            <v:rect style="position:absolute;left:1435;top:4485;width:3219;height:2060" filled="false" stroked="true" strokeweight=".502pt" strokecolor="#231f20">
              <v:stroke dashstyle="solid"/>
            </v:rect>
            <v:shape style="position:absolute;left:2022;top:4882;width:1633;height:446" coordorigin="2022,4883" coordsize="1633,446" path="m3405,5057l2662,5057,3356,5160,3655,5328,3643,5292,3518,5160,3405,5057xm2842,4883l2656,4889,2489,4919,2303,4961,2142,5033,2064,5093,2022,5160,2124,5081,2662,5057,3405,5057,3398,5051,3332,4997,3248,4967,3117,4931,2985,4901,2842,4883xe" filled="true" fillcolor="#8ed8f8" stroked="false">
              <v:path arrowok="t"/>
              <v:fill type="solid"/>
            </v:shape>
            <v:shape style="position:absolute;left:2022;top:4882;width:1633;height:446" coordorigin="2022,4883" coordsize="1633,446" path="m2022,5160l2064,5093,2142,5033,2303,4961,2489,4919,2656,4889,2842,4883,2985,4901,3117,4931,3248,4967,3332,4997,3398,5051,3518,5160,3643,5292,3655,5328,3356,5160,2662,5057,2124,5081,2022,5160xe" filled="false" stroked="true" strokeweight=".216pt" strokecolor="#231f20">
              <v:path arrowok="t"/>
              <v:stroke dashstyle="solid"/>
            </v:shape>
            <v:shape style="position:absolute;left:1435;top:5027;width:3225;height:1518" type="#_x0000_t75" stroked="false">
              <v:imagedata r:id="rId49" o:title=""/>
            </v:shape>
            <v:shape style="position:absolute;left:1435;top:5091;width:723;height:1453" type="#_x0000_t75" stroked="false">
              <v:imagedata r:id="rId50" o:title=""/>
            </v:shape>
            <v:shape style="position:absolute;left:2158;top:5027;width:723;height:1518" type="#_x0000_t75" stroked="false">
              <v:imagedata r:id="rId51" o:title=""/>
            </v:shape>
            <v:shape style="position:absolute;left:2881;top:5185;width:723;height:1360" type="#_x0000_t75" stroked="false">
              <v:imagedata r:id="rId52" o:title=""/>
            </v:shape>
            <v:shape style="position:absolute;left:3604;top:5444;width:354;height:104" type="#_x0000_t75" stroked="false">
              <v:imagedata r:id="rId53" o:title=""/>
            </v:shape>
            <v:shape style="position:absolute;left:3604;top:5548;width:723;height:996" type="#_x0000_t75" stroked="false">
              <v:imagedata r:id="rId54" o:title=""/>
            </v:shape>
            <v:shape style="position:absolute;left:4327;top:5744;width:333;height:801" type="#_x0000_t75" stroked="false">
              <v:imagedata r:id="rId55" o:title=""/>
            </v:shape>
            <v:shape style="position:absolute;left:1435;top:5027;width:3225;height:1518" coordorigin="1436,5027" coordsize="3225,1518" path="m1436,5431l1741,5280,2064,5135,2249,5051,2327,5027,2399,5045,2584,5099,2782,5154,2991,5220,3147,5262,3314,5346,3452,5400,3553,5431,3685,5467,3823,5497,3948,5545,4086,5593,4211,5653,4373,5780,4487,5858,4606,5930,4660,5948,4660,6545,1436,6545,1436,5431xe" filled="false" stroked="true" strokeweight=".216pt" strokecolor="#231f20">
              <v:path arrowok="t"/>
              <v:stroke dashstyle="solid"/>
            </v:shape>
            <v:shape style="position:absolute;left:1435;top:5358;width:1514;height:1187" type="#_x0000_t75" stroked="false">
              <v:imagedata r:id="rId56" o:title=""/>
            </v:shape>
            <v:shape style="position:absolute;left:1435;top:5516;width:362;height:1029" type="#_x0000_t75" stroked="false">
              <v:imagedata r:id="rId57" o:title=""/>
            </v:shape>
            <v:shape style="position:absolute;left:1797;top:5358;width:362;height:1187" type="#_x0000_t75" stroked="false">
              <v:imagedata r:id="rId58" o:title=""/>
            </v:shape>
            <v:shape style="position:absolute;left:2158;top:5359;width:428;height:1185" type="#_x0000_t75" stroked="false">
              <v:imagedata r:id="rId59" o:title=""/>
            </v:shape>
            <v:shape style="position:absolute;left:2520;top:5516;width:330;height:362" type="#_x0000_t75" stroked="false">
              <v:imagedata r:id="rId60" o:title=""/>
            </v:shape>
            <v:shape style="position:absolute;left:2520;top:5877;width:429;height:667" type="#_x0000_t75" stroked="false">
              <v:imagedata r:id="rId61" o:title=""/>
            </v:shape>
            <v:shape style="position:absolute;left:1249;top:4690;width:3308;height:2763" type="#_x0000_t75" stroked="false">
              <v:imagedata r:id="rId62" o:title=""/>
            </v:shape>
            <v:shape style="position:absolute;left:1249;top:7268;width:279;height:170" type="#_x0000_t75" stroked="false">
              <v:imagedata r:id="rId63" o:title=""/>
            </v:shape>
            <v:shape style="position:absolute;left:1494;top:15071;width:2;height:821" coordorigin="1494,15071" coordsize="1,821" path="m2932,6859l2932,7434m2932,6613l2932,6743e" filled="false" stroked="true" strokeweight=".502pt" strokecolor="#231f20">
              <v:path arrowok="t"/>
              <v:stroke dashstyle="solid"/>
            </v:shape>
            <w10:wrap type="none"/>
          </v:group>
        </w:pict>
      </w:r>
      <w:r>
        <w:rPr/>
        <w:drawing>
          <wp:anchor distT="0" distB="0" distL="0" distR="0" allowOverlap="1" layoutInCell="1" locked="0" behindDoc="1" simplePos="0" relativeHeight="268253759">
            <wp:simplePos x="0" y="0"/>
            <wp:positionH relativeFrom="page">
              <wp:posOffset>3931240</wp:posOffset>
            </wp:positionH>
            <wp:positionV relativeFrom="page">
              <wp:posOffset>4630527</wp:posOffset>
            </wp:positionV>
            <wp:extent cx="175801" cy="104775"/>
            <wp:effectExtent l="0" t="0" r="0" b="0"/>
            <wp:wrapNone/>
            <wp:docPr id="29" name="image55.png" descr=""/>
            <wp:cNvGraphicFramePr>
              <a:graphicFrameLocks noChangeAspect="1"/>
            </wp:cNvGraphicFramePr>
            <a:graphic>
              <a:graphicData uri="http://schemas.openxmlformats.org/drawingml/2006/picture">
                <pic:pic>
                  <pic:nvPicPr>
                    <pic:cNvPr id="30" name="image55.png"/>
                    <pic:cNvPicPr/>
                  </pic:nvPicPr>
                  <pic:blipFill>
                    <a:blip r:embed="rId64" cstate="print"/>
                    <a:stretch>
                      <a:fillRect/>
                    </a:stretch>
                  </pic:blipFill>
                  <pic:spPr>
                    <a:xfrm>
                      <a:off x="0" y="0"/>
                      <a:ext cx="175801" cy="104775"/>
                    </a:xfrm>
                    <a:prstGeom prst="rect">
                      <a:avLst/>
                    </a:prstGeom>
                  </pic:spPr>
                </pic:pic>
              </a:graphicData>
            </a:graphic>
          </wp:anchor>
        </w:drawing>
      </w:r>
      <w:r>
        <w:rPr/>
        <w:pict>
          <v:group style="position:absolute;margin-left:313.403992pt;margin-top:223.528pt;width:155.050pt;height:149.4pt;mso-position-horizontal-relative:page;mso-position-vertical-relative:page;z-index:-181672" coordorigin="6268,4471" coordsize="3101,2988">
            <v:shape style="position:absolute;left:7959;top:7056;width:280;height:167" type="#_x0000_t75" stroked="false">
              <v:imagedata r:id="rId65" o:title=""/>
            </v:shape>
            <v:shape style="position:absolute;left:7959;top:7292;width:280;height:167" type="#_x0000_t75" stroked="false">
              <v:imagedata r:id="rId66" o:title=""/>
            </v:shape>
            <v:shape style="position:absolute;left:7961;top:6852;width:275;height:161" type="#_x0000_t75" stroked="false">
              <v:imagedata r:id="rId67" o:title=""/>
            </v:shape>
            <v:shape style="position:absolute;left:7961;top:6851;width:275;height:162" coordorigin="7962,6852" coordsize="275,162" path="m8099,6852l8152,6858,8196,6876,8225,6901,8236,6933,8225,6964,8196,6990,8152,7007,8099,7014,8045,7007,8002,6990,7972,6964,7962,6933,7972,6901,8002,6876,8045,6858,8099,6852xe" filled="false" stroked="true" strokeweight=".217pt" strokecolor="#231f20">
              <v:path arrowok="t"/>
              <v:stroke dashstyle="solid"/>
            </v:shape>
            <v:shape style="position:absolute;left:6271;top:4550;width:3087;height:456" type="#_x0000_t75" stroked="false">
              <v:imagedata r:id="rId68" o:title=""/>
            </v:shape>
            <v:shape style="position:absolute;left:6271;top:4486;width:3087;height:520" type="#_x0000_t75" stroked="false">
              <v:imagedata r:id="rId69" o:title=""/>
            </v:shape>
            <v:rect style="position:absolute;left:6271;top:4486;width:3087;height:520" filled="false" stroked="true" strokeweight=".217pt" strokecolor="#231f20">
              <v:stroke dashstyle="solid"/>
            </v:rect>
            <v:shape style="position:absolute;left:6271;top:4941;width:3093;height:1870" type="#_x0000_t75" stroked="false">
              <v:imagedata r:id="rId70" o:title=""/>
            </v:shape>
            <v:shape style="position:absolute;left:6271;top:4940;width:3093;height:1871" type="#_x0000_t75" stroked="false">
              <v:imagedata r:id="rId71" o:title=""/>
            </v:shape>
            <v:shape style="position:absolute;left:6271;top:4940;width:3093;height:1874" coordorigin="6271,4941" coordsize="3093,1874" path="m7290,6814l6271,6814,6271,5006,7208,5006,7379,4999,7929,4977,8390,4948,8643,4948,9356,4941,9364,6792,7290,6814xe" filled="false" stroked="true" strokeweight=".217pt" strokecolor="#231f20">
              <v:path arrowok="t"/>
              <v:stroke dashstyle="solid"/>
            </v:shape>
            <v:shape style="position:absolute;left:7101;top:5804;width:1645;height:1010" type="#_x0000_t75" stroked="false">
              <v:imagedata r:id="rId72" o:title=""/>
            </v:shape>
            <v:shape style="position:absolute;left:7101;top:5804;width:1645;height:1010" type="#_x0000_t75" stroked="false">
              <v:imagedata r:id="rId73" o:title=""/>
            </v:shape>
            <v:shape style="position:absolute;left:7101;top:5804;width:1645;height:1010" coordorigin="7101,5804" coordsize="1645,1010" path="m7303,6814l7279,6748,7222,6675,7150,6543,7101,6411,7110,6331,7134,6221,7174,6104,7230,6009,7303,5936,7408,5870,7569,5826,7795,5804,8085,5841,8351,5892,8528,5980,8625,6089,8713,6214,8746,6302,8738,6389,8697,6499,8568,6646,8431,6733,8286,6807,8206,6814,7303,6814xe" filled="false" stroked="true" strokeweight=".217pt" strokecolor="#231f20">
              <v:path arrowok="t"/>
              <v:stroke dashstyle="solid"/>
            </v:shape>
            <v:shape style="position:absolute;left:-2;top:15838;width:86;height:47" coordorigin="-2,15838" coordsize="86,47" path="m8488,4948l8486,4993m8572,4946l8570,4976e" filled="false" stroked="true" strokeweight="2.863pt" strokecolor="#f58345">
              <v:path arrowok="t"/>
              <v:stroke dashstyle="solid"/>
            </v:shape>
            <v:shape style="position:absolute;left:6698;top:4946;width:2313;height:1780" coordorigin="6698,4946" coordsize="2313,1780" path="m6698,5006l6707,5072,6723,5167,6779,5328,6892,5446,7105,5588,7303,5694,7432,5804,7577,5863,7682,6009,7746,6155,7811,6353,7827,6514,7867,6726,7899,6653,7940,6499,8061,6060,8165,5804,8230,5658,8310,5504,8439,5350,8601,5241,8730,5175,8844,5109,8909,5050,7335,5050,7263,5036,7233,5007,6698,5006xm8732,4946l8584,4970,8383,5014,8190,5028,7754,5050,8909,5050,8945,5018,9011,4947,8732,4946xe" filled="true" fillcolor="#fffcd5" stroked="false">
              <v:path arrowok="t"/>
              <v:fill type="solid"/>
            </v:shape>
            <v:shape style="position:absolute;left:6698;top:4946;width:2313;height:1780" coordorigin="6698,4946" coordsize="2313,1780" path="m7940,6499l8061,6060,8165,5804,8230,5658,8310,5504,8439,5350,8601,5241,8730,5175,8844,5109,8945,5018,9011,4947,8732,4946,8584,4970,8383,5014,8190,5028,7754,5050,7335,5050,7263,5036,7233,5007,6698,5006,6707,5072,6723,5167,6779,5328,6892,5446,7105,5588,7303,5694,7432,5804,7577,5863,7682,6009,7746,6155,7811,6353,7827,6514,7867,6726,7899,6653,7940,6499xe" filled="false" stroked="true" strokeweight=".217pt" strokecolor="#231f20">
              <v:path arrowok="t"/>
              <v:stroke dashstyle="solid"/>
            </v:shape>
            <v:shape style="position:absolute;left:7390;top:4999;width:1049;height:1647" coordorigin="7391,4999" coordsize="1049,1647" path="m7391,5050l7432,5094,7480,5167,7577,5336,7641,5497,7730,5636,7803,5833,7827,6031,7859,6353,7875,6646,7899,6477,7932,6309,7972,6060,8012,5826,8125,5533,8198,5402,8246,5292,8310,5197,8391,5087,8411,5050,7754,5050,7391,5050xm8439,4999l8310,5021,8004,5043,7754,5050,8411,5050,8439,4999xe" filled="true" fillcolor="#fff685" stroked="false">
              <v:path arrowok="t"/>
              <v:fill type="solid"/>
            </v:shape>
            <v:shape style="position:absolute;left:7390;top:4999;width:1049;height:1647" coordorigin="7391,4999" coordsize="1049,1647" path="m7875,6646l7899,6477,7932,6309,7972,6060,8012,5826,8069,5680,8125,5533,8198,5402,8246,5292,8310,5197,8391,5087,8439,4999,8310,5021,8004,5043,7754,5050,7391,5050,7432,5094,7480,5167,7577,5336,7641,5497,7730,5636,7803,5833,7827,6031,7859,6353,7875,6646xe" filled="false" stroked="true" strokeweight=".217pt" strokecolor="#231f20">
              <v:path arrowok="t"/>
              <v:stroke dashstyle="solid"/>
            </v:shape>
            <v:shape style="position:absolute;left:7477;top:5021;width:850;height:710" coordorigin="7477,5021" coordsize="850,710" path="m8327,5021l7924,5043,7477,5052,7601,5160,7690,5277,7754,5365,7835,5482,7867,5607,7916,5731,7940,5621,8004,5519,8061,5431,8117,5306,8173,5226,8230,5138,8327,5021xe" filled="true" fillcolor="#fed09e" stroked="false">
              <v:path arrowok="t"/>
              <v:fill type="solid"/>
            </v:shape>
            <v:shape style="position:absolute;left:7477;top:5021;width:850;height:710" coordorigin="7477,5021" coordsize="850,710" path="m7916,5731l7940,5621,8004,5519,8061,5431,8117,5306,8173,5226,8230,5138,8327,5021,7924,5043,7477,5052,7601,5160,7690,5277,7754,5365,7835,5482,7867,5607,7916,5731xe" filled="false" stroked="true" strokeweight=".217pt" strokecolor="#231f20">
              <v:path arrowok="t"/>
              <v:stroke dashstyle="solid"/>
            </v:shape>
            <v:line style="position:absolute" from="8362,4981" to="8420,4981" stroked="true" strokeweight="2.561pt" strokecolor="#f58345">
              <v:stroke dashstyle="solid"/>
            </v:line>
            <v:line style="position:absolute" from="8274,4992" to="8331,4992" stroked="true" strokeweight="2.926pt" strokecolor="#f58345">
              <v:stroke dashstyle="solid"/>
            </v:line>
            <v:line style="position:absolute" from="8177,4999" to="8234,4999" stroked="true" strokeweight="3.658pt" strokecolor="#f58345">
              <v:stroke dashstyle="solid"/>
            </v:line>
            <v:line style="position:absolute" from="8101,4970" to="8099,5036" stroked="true" strokeweight="2.863pt" strokecolor="#f58345">
              <v:stroke dashstyle="solid"/>
            </v:line>
            <v:line style="position:absolute" from="7976,5010" to="8033,5010" stroked="true" strokeweight="3.254pt" strokecolor="#f58345">
              <v:stroke dashstyle="solid"/>
            </v:line>
            <v:line style="position:absolute" from="7887,5014" to="7944,5014" stroked="true" strokeweight="3.658pt" strokecolor="#f58345">
              <v:stroke dashstyle="solid"/>
            </v:line>
            <v:line style="position:absolute" from="7798,5017" to="7855,5017" stroked="true" strokeweight="3.293pt" strokecolor="#f58345">
              <v:stroke dashstyle="solid"/>
            </v:line>
            <v:line style="position:absolute" from="7731,4956" to="7731,5081" stroked="true" strokeweight="2.904pt" strokecolor="#f58345">
              <v:stroke dashstyle="solid"/>
            </v:line>
            <v:line style="position:absolute" from="7613,5022" to="7670,5022" stroked="true" strokeweight="3pt" strokecolor="#f58345">
              <v:stroke dashstyle="solid"/>
            </v:line>
            <v:line style="position:absolute" from="7553,4992" to="7551,5050" stroked="true" strokeweight="2.863pt" strokecolor="#f58345">
              <v:stroke dashstyle="solid"/>
            </v:line>
            <v:shape style="position:absolute;left:7354;top:5024;width:146;height:2" coordorigin="7355,5025" coordsize="146,0" path="m7444,5025l7501,5025m7355,5025l7412,5025e" filled="false" stroked="true" strokeweight="2.561pt" strokecolor="#f58345">
              <v:path arrowok="t"/>
              <v:stroke dashstyle="solid"/>
            </v:shape>
            <v:line style="position:absolute" from="7302,4999" to="7301,5043" stroked="true" strokeweight="2.863pt" strokecolor="#f58345">
              <v:stroke dashstyle="solid"/>
            </v:line>
            <v:shape style="position:absolute;left:7477;top:5015;width:849;height:108" coordorigin="7477,5016" coordsize="849,108" path="m8326,5016l8162,5034,7664,5049,7477,5049,7528,5070,7613,5083,7726,5096,7865,5116,7936,5124,8077,5101,8199,5085,8289,5062,8309,5042,8326,5016xe" filled="true" fillcolor="#faa74a" stroked="false">
              <v:path arrowok="t"/>
              <v:fill type="solid"/>
            </v:shape>
            <v:shape style="position:absolute;left:7477;top:5015;width:849;height:108" coordorigin="7477,5016" coordsize="849,108" path="m7477,5049l7664,5049,7845,5044,8007,5039,8162,5034,8326,5016,8309,5042,8289,5062,8199,5085,8077,5101,7981,5116,7936,5124,7865,5116,7726,5096,7613,5083,7528,5070,7477,5049xe" filled="false" stroked="true" strokeweight=".217pt" strokecolor="#231f20">
              <v:path arrowok="t"/>
              <v:stroke dashstyle="solid"/>
            </v:shape>
            <v:shape style="position:absolute;left:6397;top:4583;width:1204;height:1437" coordorigin="6397,4584" coordsize="1204,1437" path="m6943,6010l6932,5889,6843,5879,6865,5687,6397,5677,6431,6021,6943,6010m7601,4584l6520,4584,6520,4756,7601,4756,7601,4584e" filled="true" fillcolor="#ffffff" stroked="false">
              <v:path arrowok="t"/>
              <v:fill type="solid"/>
            </v:shape>
            <v:rect style="position:absolute;left:6273;top:4475;width:3091;height:2334" filled="false" stroked="true" strokeweight=".502pt" strokecolor="#231f20">
              <v:stroke dashstyle="solid"/>
            </v:rect>
            <w10:wrap type="none"/>
          </v:group>
        </w:pict>
      </w:r>
      <w:r>
        <w:rPr/>
        <w:pict>
          <v:group style="position:absolute;margin-left:489.243011pt;margin-top:295.358002pt;width:52.6pt;height:4.9pt;mso-position-horizontal-relative:page;mso-position-vertical-relative:page;z-index:-181648" coordorigin="9785,5907" coordsize="1052,98">
            <v:line style="position:absolute" from="9868,5956" to="10753,5956" stroked="true" strokeweight=".502pt" strokecolor="#231f20">
              <v:stroke dashstyle="solid"/>
            </v:line>
            <v:shape style="position:absolute;left:9794;top:5907;width:76;height:98" coordorigin="9795,5907" coordsize="76,98" path="m9870,5907l9795,5956,9870,6005,9870,5907xe" filled="true" fillcolor="#231f20" stroked="false">
              <v:path arrowok="t"/>
              <v:fill type="solid"/>
            </v:shape>
            <v:line style="position:absolute" from="9795,5907" to="9795,6005" stroked="true" strokeweight="1.012pt" strokecolor="#231f20">
              <v:stroke dashstyle="solid"/>
            </v:line>
            <v:shape style="position:absolute;left:10750;top:5907;width:76;height:98" coordorigin="10751,5907" coordsize="76,98" path="m10751,5907l10751,6005,10826,5956,10751,5907xe" filled="true" fillcolor="#231f20" stroked="false">
              <v:path arrowok="t"/>
              <v:fill type="solid"/>
            </v:shape>
            <v:line style="position:absolute" from="10826,5907" to="10826,6005" stroked="true" strokeweight="1.012pt" strokecolor="#231f20">
              <v:stroke dashstyle="solid"/>
            </v:line>
            <w10:wrap type="none"/>
          </v:group>
        </w:pict>
      </w:r>
      <w:r>
        <w:rPr/>
        <w:pict>
          <v:group style="position:absolute;margin-left:61.007pt;margin-top:67.190498pt;width:178.4pt;height:127.3pt;mso-position-horizontal-relative:page;mso-position-vertical-relative:page;z-index:-181624" coordorigin="1220,1344" coordsize="3568,2546">
            <v:shape style="position:absolute;left:4105;top:3723;width:280;height:167" type="#_x0000_t75" stroked="false">
              <v:imagedata r:id="rId74" o:title=""/>
            </v:shape>
            <v:shape style="position:absolute;left:2359;top:3723;width:280;height:167" type="#_x0000_t75" stroked="false">
              <v:imagedata r:id="rId75" o:title=""/>
            </v:shape>
            <v:shape style="position:absolute;left:1228;top:1345;width:3553;height:643" type="#_x0000_t75" stroked="false">
              <v:imagedata r:id="rId76" o:title=""/>
            </v:shape>
            <v:shape style="position:absolute;left:1228;top:1345;width:700;height:368" type="#_x0000_t75" stroked="false">
              <v:imagedata r:id="rId77" o:title=""/>
            </v:shape>
            <v:shape style="position:absolute;left:1567;top:1345;width:723;height:368" type="#_x0000_t75" stroked="false">
              <v:imagedata r:id="rId78" o:title=""/>
            </v:shape>
            <v:shape style="position:absolute;left:1928;top:1345;width:724;height:368" type="#_x0000_t75" stroked="false">
              <v:imagedata r:id="rId79" o:title=""/>
            </v:shape>
            <v:shape style="position:absolute;left:2290;top:1345;width:723;height:368" type="#_x0000_t75" stroked="false">
              <v:imagedata r:id="rId78" o:title=""/>
            </v:shape>
            <v:shape style="position:absolute;left:2651;top:1345;width:723;height:368" type="#_x0000_t75" stroked="false">
              <v:imagedata r:id="rId78" o:title=""/>
            </v:shape>
            <v:shape style="position:absolute;left:3012;top:1345;width:723;height:368" type="#_x0000_t75" stroked="false">
              <v:imagedata r:id="rId78" o:title=""/>
            </v:shape>
            <v:shape style="position:absolute;left:3374;top:1345;width:723;height:368" type="#_x0000_t75" stroked="false">
              <v:imagedata r:id="rId78" o:title=""/>
            </v:shape>
            <v:shape style="position:absolute;left:3735;top:1345;width:723;height:368" type="#_x0000_t75" stroked="false">
              <v:imagedata r:id="rId78" o:title=""/>
            </v:shape>
            <v:shape style="position:absolute;left:4097;top:1345;width:685;height:368" type="#_x0000_t75" stroked="false">
              <v:imagedata r:id="rId80" o:title=""/>
            </v:shape>
            <v:shape style="position:absolute;left:4458;top:1352;width:323;height:362" type="#_x0000_t75" stroked="false">
              <v:imagedata r:id="rId81" o:title=""/>
            </v:shape>
            <v:rect style="position:absolute;left:1228;top:1345;width:3553;height:639" filled="false" stroked="true" strokeweight=".217pt" strokecolor="#231f20">
              <v:stroke dashstyle="solid"/>
            </v:rect>
            <v:shape style="position:absolute;left:1225;top:1890;width:3558;height:1789" type="#_x0000_t75" stroked="false">
              <v:imagedata r:id="rId82" o:title=""/>
            </v:shape>
            <v:shape style="position:absolute;left:1225;top:1889;width:591;height:1516" type="#_x0000_t75" stroked="false">
              <v:imagedata r:id="rId83" o:title=""/>
            </v:shape>
            <v:shape style="position:absolute;left:1563;top:1959;width:310;height:362" type="#_x0000_t75" stroked="false">
              <v:imagedata r:id="rId84" o:title=""/>
            </v:shape>
            <v:shape style="position:absolute;left:1563;top:2320;width:362;height:1085" type="#_x0000_t75" stroked="false">
              <v:imagedata r:id="rId85" o:title=""/>
            </v:shape>
            <v:shape style="position:absolute;left:1925;top:2349;width:362;height:1056" type="#_x0000_t75" stroked="false">
              <v:imagedata r:id="rId86" o:title=""/>
            </v:shape>
            <v:shape style="position:absolute;left:2453;top:2287;width:195;height:34" type="#_x0000_t75" stroked="false">
              <v:imagedata r:id="rId87" o:title=""/>
            </v:shape>
            <v:shape style="position:absolute;left:2286;top:2226;width:723;height:1179" type="#_x0000_t75" stroked="false">
              <v:imagedata r:id="rId88" o:title=""/>
            </v:shape>
            <v:shape style="position:absolute;left:2647;top:2320;width:362;height:1085" type="#_x0000_t75" stroked="false">
              <v:imagedata r:id="rId89" o:title=""/>
            </v:shape>
            <v:shape style="position:absolute;left:3009;top:2165;width:362;height:1241" type="#_x0000_t75" stroked="false">
              <v:imagedata r:id="rId90" o:title=""/>
            </v:shape>
            <v:shape style="position:absolute;left:3370;top:2095;width:362;height:1310" type="#_x0000_t75" stroked="false">
              <v:imagedata r:id="rId91" o:title=""/>
            </v:shape>
            <v:shape style="position:absolute;left:3732;top:2025;width:362;height:1381" type="#_x0000_t75" stroked="false">
              <v:imagedata r:id="rId92" o:title=""/>
            </v:shape>
            <v:shape style="position:absolute;left:4430;top:1954;width:25;height:5" type="#_x0000_t75" stroked="false">
              <v:imagedata r:id="rId93" o:title=""/>
            </v:shape>
            <v:shape style="position:absolute;left:4093;top:1890;width:690;height:1515" type="#_x0000_t75" stroked="false">
              <v:imagedata r:id="rId94" o:title=""/>
            </v:shape>
            <v:shape style="position:absolute;left:4455;top:1959;width:328;height:1446" type="#_x0000_t75" stroked="false">
              <v:imagedata r:id="rId95" o:title=""/>
            </v:shape>
            <v:shape style="position:absolute;left:1220;top:1397;width:3568;height:2287" type="#_x0000_t75" stroked="false">
              <v:imagedata r:id="rId96" o:title=""/>
            </v:shape>
            <w10:wrap type="none"/>
          </v:group>
        </w:pict>
      </w:r>
      <w:r>
        <w:rPr/>
        <w:pict>
          <v:group style="position:absolute;margin-left:310.015503pt;margin-top:64.589996pt;width:166.7pt;height:146.2pt;mso-position-horizontal-relative:page;mso-position-vertical-relative:page;z-index:-181600" coordorigin="6200,1292" coordsize="3334,2924">
            <v:shape style="position:absolute;left:6267;top:3018;width:3183;height:621" type="#_x0000_t75" stroked="false">
              <v:imagedata r:id="rId97" o:title=""/>
            </v:shape>
            <v:shape style="position:absolute;left:6267;top:3016;width:362;height:623" type="#_x0000_t75" stroked="false">
              <v:imagedata r:id="rId98" o:title=""/>
            </v:shape>
            <v:shape style="position:absolute;left:6629;top:3016;width:362;height:623" type="#_x0000_t75" stroked="false">
              <v:imagedata r:id="rId98" o:title=""/>
            </v:shape>
            <v:shape style="position:absolute;left:6990;top:3016;width:362;height:623" type="#_x0000_t75" stroked="false">
              <v:imagedata r:id="rId98" o:title=""/>
            </v:shape>
            <v:shape style="position:absolute;left:7352;top:3016;width:362;height:623" type="#_x0000_t75" stroked="false">
              <v:imagedata r:id="rId98" o:title=""/>
            </v:shape>
            <v:shape style="position:absolute;left:7713;top:3016;width:362;height:623" type="#_x0000_t75" stroked="false">
              <v:imagedata r:id="rId98" o:title=""/>
            </v:shape>
            <v:shape style="position:absolute;left:8074;top:3016;width:362;height:623" type="#_x0000_t75" stroked="false">
              <v:imagedata r:id="rId98" o:title=""/>
            </v:shape>
            <v:shape style="position:absolute;left:8436;top:3016;width:362;height:623" type="#_x0000_t75" stroked="false">
              <v:imagedata r:id="rId98" o:title=""/>
            </v:shape>
            <v:shape style="position:absolute;left:8797;top:3016;width:362;height:623" type="#_x0000_t75" stroked="false">
              <v:imagedata r:id="rId98" o:title=""/>
            </v:shape>
            <v:shape style="position:absolute;left:9159;top:3016;width:292;height:621" type="#_x0000_t75" stroked="false">
              <v:imagedata r:id="rId99" o:title=""/>
            </v:shape>
            <v:rect style="position:absolute;left:6267;top:3016;width:3183;height:621" filled="false" stroked="true" strokeweight=".217pt" strokecolor="#231f20">
              <v:stroke dashstyle="solid"/>
            </v:rect>
            <v:shape style="position:absolute;left:6267;top:1298;width:3183;height:1212" type="#_x0000_t75" stroked="false">
              <v:imagedata r:id="rId100" o:title=""/>
            </v:shape>
            <v:shape style="position:absolute;left:6267;top:1296;width:362;height:1213" type="#_x0000_t75" stroked="false">
              <v:imagedata r:id="rId101" o:title=""/>
            </v:shape>
            <v:shape style="position:absolute;left:6629;top:1296;width:362;height:1213" type="#_x0000_t75" stroked="false">
              <v:imagedata r:id="rId101" o:title=""/>
            </v:shape>
            <v:shape style="position:absolute;left:6990;top:1296;width:362;height:1213" type="#_x0000_t75" stroked="false">
              <v:imagedata r:id="rId101" o:title=""/>
            </v:shape>
            <v:shape style="position:absolute;left:7352;top:1296;width:362;height:1213" type="#_x0000_t75" stroked="false">
              <v:imagedata r:id="rId101" o:title=""/>
            </v:shape>
            <v:shape style="position:absolute;left:7713;top:1296;width:362;height:1213" type="#_x0000_t75" stroked="false">
              <v:imagedata r:id="rId101" o:title=""/>
            </v:shape>
            <v:shape style="position:absolute;left:8074;top:1296;width:362;height:1213" type="#_x0000_t75" stroked="false">
              <v:imagedata r:id="rId101" o:title=""/>
            </v:shape>
            <v:shape style="position:absolute;left:8436;top:1296;width:362;height:1213" type="#_x0000_t75" stroked="false">
              <v:imagedata r:id="rId101" o:title=""/>
            </v:shape>
            <v:shape style="position:absolute;left:8797;top:1296;width:362;height:1213" type="#_x0000_t75" stroked="false">
              <v:imagedata r:id="rId101" o:title=""/>
            </v:shape>
            <v:shape style="position:absolute;left:9159;top:1296;width:292;height:1213" type="#_x0000_t75" stroked="false">
              <v:imagedata r:id="rId102" o:title=""/>
            </v:shape>
            <v:rect style="position:absolute;left:6267;top:1296;width:3183;height:1214" filled="false" stroked="true" strokeweight=".217pt" strokecolor="#231f20">
              <v:stroke dashstyle="solid"/>
            </v:rect>
            <v:shape style="position:absolute;left:6267;top:1825;width:3183;height:1208" type="#_x0000_t75" stroked="false">
              <v:imagedata r:id="rId103" o:title=""/>
            </v:shape>
            <v:shape style="position:absolute;left:6267;top:1825;width:723;height:1196" type="#_x0000_t75" stroked="false">
              <v:imagedata r:id="rId104" o:title=""/>
            </v:shape>
            <v:shape style="position:absolute;left:6990;top:1974;width:723;height:1050" type="#_x0000_t75" stroked="false">
              <v:imagedata r:id="rId105" o:title=""/>
            </v:shape>
            <v:shape style="position:absolute;left:7713;top:2094;width:723;height:934" type="#_x0000_t75" stroked="false">
              <v:imagedata r:id="rId106" o:title=""/>
            </v:shape>
            <v:shape style="position:absolute;left:8436;top:2095;width:723;height:936" type="#_x0000_t75" stroked="false">
              <v:imagedata r:id="rId107" o:title=""/>
            </v:shape>
            <v:shape style="position:absolute;left:9159;top:2334;width:263;height:157" type="#_x0000_t75" stroked="false">
              <v:imagedata r:id="rId108" o:title=""/>
            </v:shape>
            <v:shape style="position:absolute;left:9159;top:2490;width:292;height:543" type="#_x0000_t75" stroked="false">
              <v:imagedata r:id="rId109" o:title=""/>
            </v:shape>
            <v:shape style="position:absolute;left:6267;top:1825;width:3183;height:1208" coordorigin="6268,1825" coordsize="3183,1208" path="m6268,3017l6268,1825,6387,1841,6495,1858,6712,1895,6837,1917,6974,1938,7065,2133,7093,2176,7230,2197,7418,2203,7577,2208,7708,2203,7902,2203,8135,2213,8232,2213,8352,2165,8414,2095,8528,2100,8722,2165,8949,2240,9251,2375,9450,2510,9450,3033,6268,3017xe" filled="false" stroked="true" strokeweight=".217pt" strokecolor="#231f20">
              <v:path arrowok="t"/>
              <v:stroke dashstyle="solid"/>
            </v:shape>
            <v:shape style="position:absolute;left:7093;top:1954;width:1401;height:367" coordorigin="7093,1955" coordsize="1401,367" path="m8016,2230l7765,2230,7822,2257,7839,2294,7856,2321,7890,2284,7947,2240,8016,2230xm7839,1955l7720,1955,7611,1971,7378,2025,7281,2052,7252,2064,7225,2080,7199,2099,7093,2170,7389,2240,7537,2311,7594,2284,7691,2240,7765,2230,8016,2230,8050,2224,8152,2224,8255,2213,8323,2181,8380,2143,8409,2100,8494,2100,8420,2052,8306,2019,8215,1998,8078,1982,7987,1965,7839,1955xe" filled="true" fillcolor="#fed09e" stroked="false">
              <v:path arrowok="t"/>
              <v:fill type="solid"/>
            </v:shape>
            <v:shape style="position:absolute;left:7093;top:1954;width:1401;height:367" coordorigin="7093,1955" coordsize="1401,367" path="m7093,2170l7173,2116,7199,2099,7225,2080,7281,2052,7378,2025,7469,2003,7611,1971,7720,1955,7839,1955,7987,1965,8078,1982,8215,1998,8306,2019,8420,2052,8494,2100,8409,2100,8380,2143,8323,2181,8255,2213,8152,2224,8050,2224,7947,2240,7890,2284,7856,2321,7839,2294,7822,2257,7765,2230,7691,2240,7594,2284,7537,2311,7389,2240,7093,2170xe" filled="false" stroked="true" strokeweight=".217pt" strokecolor="#231f20">
              <v:path arrowok="t"/>
              <v:stroke dashstyle="solid"/>
            </v:shape>
            <v:shape style="position:absolute;left:8414;top:2057;width:843;height:319" coordorigin="8414,2057" coordsize="843,319" path="m8414,2057l8454,2079,8488,2100,8534,2100,8864,2208,8961,2251,9092,2300,9257,2375,9160,2316,9041,2246,8921,2208,8750,2143,8653,2106,8557,2073,8414,2057xe" filled="true" fillcolor="#0095da" stroked="false">
              <v:path arrowok="t"/>
              <v:fill type="solid"/>
            </v:shape>
            <v:shape style="position:absolute;left:8414;top:2057;width:843;height:319" coordorigin="8414,2057" coordsize="843,319" path="m9257,2375l9160,2316,9041,2246,8921,2208,8750,2143,8653,2106,8557,2073,8414,2057,8454,2079,8488,2100,8534,2100,8864,2208,8961,2251,9092,2300,9257,2375xe" filled="false" stroked="true" strokeweight=".217pt" strokecolor="#231f20">
              <v:path arrowok="t"/>
              <v:stroke dashstyle="solid"/>
            </v:shape>
            <v:shape style="position:absolute;left:7372;top:1534;width:718;height:1990" coordorigin="7372,1534" coordsize="718,1990" path="m7372,2235l7395,2294,7458,2375,7554,2515,7600,2661,7680,2785,7685,2920,7708,3098,7720,3292,7725,3400,7737,3524,7805,3518,7816,3384,7851,3222,7879,3038,7879,2893,7896,2785,7930,2656,7925,2559,7925,2343,7954,2311,7543,2311,7480,2284,7372,2235xm8090,1534l7708,1534,7759,1583,7788,1690,7816,1804,7822,1906,7828,1965,7828,2046,7788,2116,7788,2181,7771,2213,7731,2240,7674,2246,7617,2267,7577,2294,7543,2311,7954,2311,7993,2267,8050,2230,8033,2213,7959,2170,7919,2079,7907,1987,7902,1885,7896,1787,7902,1707,7936,1620,8004,1566,8090,1534xe" filled="true" fillcolor="#63908e" stroked="false">
              <v:path arrowok="t"/>
              <v:fill type="solid"/>
            </v:shape>
            <v:shape style="position:absolute;left:7372;top:1534;width:718;height:1990" coordorigin="7372,1534" coordsize="718,1990" path="m7816,3384l7851,3222,7879,3038,7879,2893,7896,2785,7930,2656,7925,2559,7925,2343,7993,2267,8050,2230,8033,2213,7959,2170,7919,2079,7907,1987,7902,1885,7896,1787,7902,1707,7936,1620,8004,1566,8090,1534,7708,1534,7759,1583,7788,1690,7816,1804,7822,1906,7828,1965,7828,2046,7788,2116,7788,2181,7771,2213,7731,2240,7674,2246,7617,2267,7577,2294,7543,2311,7480,2284,7372,2235,7395,2294,7458,2375,7554,2515,7600,2661,7680,2785,7685,2920,7708,3098,7720,3292,7725,3400,7737,3524,7805,3518,7816,3384xe" filled="false" stroked="true" strokeweight=".217pt" strokecolor="#231f20">
              <v:path arrowok="t"/>
              <v:stroke dashstyle="solid"/>
            </v:shape>
            <v:shape style="position:absolute;left:6882;top:3523;width:1760;height:114" type="#_x0000_t75" stroked="false">
              <v:imagedata r:id="rId110" o:title=""/>
            </v:shape>
            <v:shape style="position:absolute;left:7244;top:3523;width:1398;height:114" type="#_x0000_t75" stroked="false">
              <v:imagedata r:id="rId111" o:title=""/>
            </v:shape>
            <v:shape style="position:absolute;left:6882;top:3523;width:1760;height:114" coordorigin="6883,3524" coordsize="1760,114" path="m6883,3637l6991,3610,7145,3572,7298,3545,7463,3524,7765,3524,7930,3535,8101,3551,8289,3578,8454,3605,8642,3637,6883,3637xe" filled="false" stroked="true" strokeweight=".217pt" strokecolor="#231f20">
              <v:path arrowok="t"/>
              <v:stroke dashstyle="solid"/>
            </v:shape>
            <v:shape style="position:absolute;left:7850;top:2218;width:291;height:1009" coordorigin="7851,2219" coordsize="291,1009" path="m8141,2219l8050,2224,7987,2284,7930,2348,7936,2402,7919,2510,7930,2623,7930,2683,7902,2769,7885,2855,7879,2941,7879,3060,7851,3227,7890,3119,7925,3012,7959,2844,7981,2726,8004,2586,8010,2462,8038,2343,8095,2267,8141,2219xe" filled="true" fillcolor="#fffcd5" stroked="false">
              <v:path arrowok="t"/>
              <v:fill type="solid"/>
            </v:shape>
            <v:shape style="position:absolute;left:7850;top:2218;width:291;height:1009" coordorigin="7851,2219" coordsize="291,1009" path="m8050,2224l8141,2219,8095,2267,8038,2343,8010,2462,8004,2586,7981,2726,7959,2844,7925,3012,7890,3119,7851,3227,7879,3060,7879,2941,7885,2855,7902,2769,7930,2683,7930,2623,7919,2510,7936,2402,7930,2348,7987,2284,8050,2224xe" filled="false" stroked="true" strokeweight=".217pt" strokecolor="#231f20">
              <v:path arrowok="t"/>
              <v:stroke dashstyle="solid"/>
            </v:shape>
            <v:shape style="position:absolute;left:7315;top:2224;width:405;height:1020" coordorigin="7315,2224" coordsize="405,1020" path="m7315,2224l7332,2267,7435,2413,7480,2494,7532,2586,7577,2661,7606,2737,7628,2790,7640,2850,7657,2963,7674,3082,7720,3243,7708,3065,7691,2914,7691,2807,7685,2774,7646,2710,7606,2656,7572,2559,7554,2505,7475,2386,7424,2321,7384,2289,7389,2240,7315,2224xe" filled="true" fillcolor="#fffcd5" stroked="false">
              <v:path arrowok="t"/>
              <v:fill type="solid"/>
            </v:shape>
            <v:shape style="position:absolute;left:7315;top:2224;width:405;height:1020" coordorigin="7315,2224" coordsize="405,1020" path="m7720,3243l7708,3065,7691,2914,7691,2807,7685,2774,7646,2710,7606,2656,7572,2559,7554,2505,7475,2386,7424,2321,7384,2289,7389,2240,7315,2224,7332,2267,7435,2413,7480,2494,7532,2586,7577,2661,7606,2737,7628,2790,7640,2850,7657,2963,7674,3082,7697,3162,7720,3243xe" filled="false" stroked="true" strokeweight=".217pt" strokecolor="#231f20">
              <v:path arrowok="t"/>
              <v:stroke dashstyle="solid"/>
            </v:shape>
            <v:shape style="position:absolute;left:7355;top:1431;width:1077;height:108" coordorigin="7355,1432" coordsize="1077,108" path="m7777,1432l7651,1432,7486,1464,7412,1496,7355,1523,7441,1539,7674,1529,8431,1529,8420,1502,8346,1469,8186,1448,7993,1448,7777,1432xm7959,1529l7674,1529,7765,1534,7845,1534,7959,1529xm8431,1529l7959,1529,8078,1534,8352,1534,8431,1529xe" filled="true" fillcolor="#fed09e" stroked="false">
              <v:path arrowok="t"/>
              <v:fill type="solid"/>
            </v:shape>
            <v:shape style="position:absolute;left:-604;top:15742;width:1077;height:108" coordorigin="-604,15743" coordsize="1077,108" path="m7959,1529l8078,1534,8352,1534,8431,1529,8420,1502,8346,1469,8186,1448,7993,1448,7777,1432,7651,1432,7486,1464,7412,1496,7355,1523,7441,1539,7554,1534,7674,1529,7765,1534,7845,1534,7959,1529xm7805,1534l7725,1534,7748,1518,7805,1534xe" filled="false" stroked="true" strokeweight=".217pt" strokecolor="#231f20">
              <v:path arrowok="t"/>
              <v:stroke dashstyle="solid"/>
            </v:shape>
            <v:shape style="position:absolute;left:7725;top:1480;width:308;height:60" coordorigin="7725,1480" coordsize="308,60" path="m8029,1529l7902,1529,8033,1539,8029,1529xm7856,1480l7844,1481,7833,1487,7822,1495,7811,1502,7725,1529,7811,1534,7902,1529,8029,1529,8027,1523,8010,1512,7981,1496,7942,1496,7856,1480xe" filled="true" fillcolor="#faa74a" stroked="false">
              <v:path arrowok="t"/>
              <v:fill type="solid"/>
            </v:shape>
            <v:shape style="position:absolute;left:7725;top:1480;width:308;height:60" coordorigin="7725,1480" coordsize="308,60" path="m7725,1529l7811,1502,7822,1495,7833,1487,7844,1481,7856,1480,7942,1496,7981,1496,8010,1512,8027,1523,8033,1539,7902,1529,7811,1534,7725,1529xe" filled="false" stroked="true" strokeweight=".217pt" strokecolor="#231f20">
              <v:path arrowok="t"/>
              <v:stroke dashstyle="solid"/>
            </v:shape>
            <v:shape style="position:absolute;left:7548;top:2154;width:490;height:146" coordorigin="7549,2154" coordsize="490,146" path="m7902,2154l7816,2154,7680,2197,7611,2230,7566,2257,7549,2300,7976,2235,8038,2224,8021,2192,7970,2165,7902,2154xe" filled="true" fillcolor="#a7a9ac" stroked="false">
              <v:path arrowok="t"/>
              <v:fill type="solid"/>
            </v:shape>
            <v:shape style="position:absolute;left:7548;top:2154;width:490;height:146" coordorigin="7549,2154" coordsize="490,146" path="m7549,2300l7566,2257,7611,2230,7680,2197,7816,2154,7902,2154,7970,2165,8021,2192,8038,2224,7976,2235,7549,2300xe" filled="false" stroked="true" strokeweight=".217pt" strokecolor="#231f20">
              <v:path arrowok="t"/>
              <v:stroke dashstyle="solid"/>
            </v:shape>
            <v:shape style="position:absolute;left:7264;top:2094;width:1025;height:211" coordorigin="7264,2095" coordsize="1025,211" path="m7964,2095l7794,2100,7731,2106,7657,2111,7577,2127,7355,2176,7264,2203,7327,2230,7424,2251,7486,2278,7543,2305,7560,2257,7611,2224,7708,2192,7777,2165,7913,2149,8224,2149,8175,2127,8090,2122,7964,2095xm8224,2149l7913,2149,7970,2165,8004,2187,8044,2219,8118,2224,8181,2224,8243,2213,8289,2192,8249,2160,8224,2149xe" filled="true" fillcolor="#faa74a" stroked="false">
              <v:path arrowok="t"/>
              <v:fill type="solid"/>
            </v:shape>
            <v:shape style="position:absolute;left:7264;top:2094;width:1025;height:211" coordorigin="7264,2095" coordsize="1025,211" path="m7264,2203l7355,2176,7452,2154,7577,2127,7657,2111,7731,2106,7794,2100,7964,2095,8090,2122,8175,2127,8249,2160,8289,2192,8243,2213,8181,2224,8118,2224,8044,2219,8004,2187,7970,2165,7913,2149,7777,2165,7708,2192,7611,2224,7560,2257,7543,2305,7486,2278,7424,2251,7327,2230,7264,2203xe" filled="false" stroked="true" strokeweight=".217pt" strokecolor="#231f20">
              <v:path arrowok="t"/>
              <v:stroke dashstyle="solid"/>
            </v:shape>
            <v:shape style="position:absolute;left:7508;top:2051;width:268;height:27" coordorigin="7509,2052" coordsize="268,27" path="m7759,2052l7509,2062,7623,2079,7708,2073,7776,2062,7759,2052xe" filled="true" fillcolor="#0095da" stroked="false">
              <v:path arrowok="t"/>
              <v:fill type="solid"/>
            </v:shape>
            <v:shape style="position:absolute;left:7508;top:2051;width:268;height:27" coordorigin="7509,2052" coordsize="268,27" path="m7509,2062l7646,2057,7759,2052,7776,2062,7708,2073,7623,2079,7509,2062xe" filled="false" stroked="true" strokeweight=".217pt" strokecolor="#231f20">
              <v:path arrowok="t"/>
              <v:stroke dashstyle="solid"/>
            </v:shape>
            <v:shape style="position:absolute;left:6261;top:1410;width:3189;height:125" coordorigin="6262,1410" coordsize="3189,125" path="m6268,1491l6262,1523,6643,1523,7173,1534,7287,1534,7355,1523,7394,1507,7241,1507,6268,1491xm8230,1437l7828,1437,7930,1448,7993,1453,8198,1453,8289,1469,8369,1480,8409,1507,8437,1534,9450,1534,9450,1512,8488,1512,8443,1502,8386,1469,8295,1448,8230,1437xm9450,1507l8488,1512,9450,1512,9450,1507xm7742,1410l7646,1415,7549,1426,7475,1442,7401,1475,7338,1496,7241,1507,7394,1507,7446,1486,7515,1453,7594,1437,8230,1437,8198,1432,8095,1426,7976,1426,7868,1415,7742,1410xe" filled="true" fillcolor="#0095da" stroked="false">
              <v:path arrowok="t"/>
              <v:fill type="solid"/>
            </v:shape>
            <v:shape style="position:absolute;left:6261;top:1410;width:3189;height:125" coordorigin="6262,1410" coordsize="3189,125" path="m6262,1523l6643,1523,6945,1529,7173,1534,7287,1534,7355,1523,7446,1486,7515,1453,7594,1437,7828,1437,7930,1448,7993,1453,8198,1453,8289,1469,8369,1480,8409,1507,8437,1534,9450,1534,9450,1507,8488,1512,8443,1502,8386,1469,8295,1448,8198,1432,8095,1426,7976,1426,7868,1415,7742,1410,7646,1415,7549,1426,7475,1442,7401,1475,7338,1496,7241,1507,6268,1491,6262,1523xe" filled="false" stroked="true" strokeweight=".217pt" strokecolor="#231f20">
              <v:path arrowok="t"/>
              <v:stroke dashstyle="solid"/>
            </v:shape>
            <v:shape style="position:absolute;left:9255;top:3667;width:280;height:167" type="#_x0000_t75" stroked="false">
              <v:imagedata r:id="rId112" o:title=""/>
            </v:shape>
            <v:shape style="position:absolute;left:9254;top:3887;width:280;height:167" type="#_x0000_t75" stroked="false">
              <v:imagedata r:id="rId113" o:title=""/>
            </v:shape>
            <v:shape style="position:absolute;left:7504;top:3702;width:280;height:167" type="#_x0000_t75" stroked="false">
              <v:imagedata r:id="rId114" o:title=""/>
            </v:shape>
            <v:shape style="position:absolute;left:7498;top:4048;width:280;height:167" type="#_x0000_t75" stroked="false">
              <v:imagedata r:id="rId115" o:title=""/>
            </v:shape>
            <v:shape style="position:absolute;left:6200;top:3927;width:280;height:167" type="#_x0000_t75" stroked="false">
              <v:imagedata r:id="rId116" o:title=""/>
            </v:shape>
            <v:shape style="position:absolute;left:8196;top:2594;width:1112;height:870" coordorigin="8196,2595" coordsize="1112,870" path="m9251,3309l9244,3208,8290,3181,8290,3464,8639,3464,8632,3323,9251,3309m9308,2595l8196,2595,8204,2896,8676,2879,8676,2741,9308,2733,9308,2595e" filled="true" fillcolor="#ffffff" stroked="false">
              <v:path arrowok="t"/>
              <v:fill type="solid"/>
            </v:shape>
            <v:shape style="position:absolute;left:7450;top:2231;width:549;height:459" coordorigin="7451,2231" coordsize="549,459" path="m7451,2265l7536,2373,7607,2433,7664,2541,7721,2669,7863,2689,7885,2602,7899,2487,7913,2379,7927,2319,7933,2312,7628,2312,7550,2298,7451,2265xm7999,2231l7835,2231,7628,2312,7933,2312,7999,2231xe" filled="true" fillcolor="#fff685" stroked="false">
              <v:path arrowok="t"/>
              <v:fill type="solid"/>
            </v:shape>
            <v:shape style="position:absolute;left:7450;top:2231;width:549;height:459" coordorigin="7451,2231" coordsize="549,459" path="m7451,2265l7536,2373,7607,2433,7664,2541,7721,2669,7863,2689,7885,2602,7899,2487,7913,2379,7927,2319,7999,2231,7835,2231,7628,2312,7550,2298,7451,2265xe" filled="false" stroked="true" strokeweight=".217pt" strokecolor="#231f20">
              <v:path arrowok="t"/>
              <v:stroke dashstyle="solid"/>
            </v:shape>
            <v:shape style="position:absolute;left:7548;top:1528;width:410;height:1683" coordorigin="7549,1529" coordsize="410,1683" path="m7959,1529l7799,1529,7816,1566,7828,1647,7839,1750,7856,1847,7851,1901,7828,1949,7794,2106,7777,2208,7731,2240,7663,2251,7600,2278,7549,2305,7611,2381,7657,2483,7708,2612,7742,2726,7742,2844,7748,2952,7759,3049,7777,3130,7805,3211,7828,3087,7828,2963,7839,2823,7862,2683,7862,2580,7868,2499,7885,2418,7907,2321,7942,2267,7959,2230,7959,2165,7919,2057,7913,1982,7885,1874,7873,1777,7873,1696,7879,1631,7907,1577,7959,1529xe" filled="true" fillcolor="#f58345" stroked="false">
              <v:path arrowok="t"/>
              <v:fill type="solid"/>
            </v:shape>
            <v:shape style="position:absolute;left:7548;top:1528;width:410;height:1683" coordorigin="7549,1529" coordsize="410,1683" path="m7805,3211l7828,3087,7828,2963,7839,2823,7862,2683,7862,2580,7868,2499,7885,2418,7907,2321,7942,2267,7959,2230,7959,2165,7919,2057,7913,1982,7902,1938,7885,1874,7873,1777,7873,1696,7879,1631,7907,1577,7959,1529,7799,1529,7816,1566,7828,1647,7839,1750,7856,1847,7851,1901,7828,1949,7794,2106,7777,2208,7731,2240,7663,2251,7600,2278,7549,2305,7611,2381,7657,2483,7708,2612,7742,2726,7742,2844,7748,2952,7759,3049,7777,3130,7805,3211xe" filled="false" stroked="true" strokeweight=".217pt" strokecolor="#231f20">
              <v:path arrowok="t"/>
              <v:stroke dashstyle="solid"/>
            </v:shape>
            <v:shape style="position:absolute;left:6200;top:3698;width:280;height:167" type="#_x0000_t75" stroked="false">
              <v:imagedata r:id="rId117" o:title=""/>
            </v:shape>
            <v:rect style="position:absolute;left:6267;top:1296;width:3183;height:2341" filled="false" stroked="true" strokeweight=".502pt" strokecolor="#231f20">
              <v:stroke dashstyle="solid"/>
            </v:rect>
            <w10:wrap type="none"/>
          </v:group>
        </w:pict>
      </w:r>
      <w:r>
        <w:rPr/>
        <w:drawing>
          <wp:anchor distT="0" distB="0" distL="0" distR="0" allowOverlap="1" layoutInCell="1" locked="0" behindDoc="1" simplePos="0" relativeHeight="268253879">
            <wp:simplePos x="0" y="0"/>
            <wp:positionH relativeFrom="page">
              <wp:posOffset>5876728</wp:posOffset>
            </wp:positionH>
            <wp:positionV relativeFrom="page">
              <wp:posOffset>2642939</wp:posOffset>
            </wp:positionV>
            <wp:extent cx="175826" cy="104775"/>
            <wp:effectExtent l="0" t="0" r="0" b="0"/>
            <wp:wrapNone/>
            <wp:docPr id="31" name="image109.png" descr=""/>
            <wp:cNvGraphicFramePr>
              <a:graphicFrameLocks noChangeAspect="1"/>
            </wp:cNvGraphicFramePr>
            <a:graphic>
              <a:graphicData uri="http://schemas.openxmlformats.org/drawingml/2006/picture">
                <pic:pic>
                  <pic:nvPicPr>
                    <pic:cNvPr id="32" name="image109.png"/>
                    <pic:cNvPicPr/>
                  </pic:nvPicPr>
                  <pic:blipFill>
                    <a:blip r:embed="rId118" cstate="print"/>
                    <a:stretch>
                      <a:fillRect/>
                    </a:stretch>
                  </pic:blipFill>
                  <pic:spPr>
                    <a:xfrm>
                      <a:off x="0" y="0"/>
                      <a:ext cx="175826" cy="104775"/>
                    </a:xfrm>
                    <a:prstGeom prst="rect">
                      <a:avLst/>
                    </a:prstGeom>
                  </pic:spPr>
                </pic:pic>
              </a:graphicData>
            </a:graphic>
          </wp:anchor>
        </w:drawing>
      </w:r>
      <w:r>
        <w:rPr/>
        <w:pict>
          <v:group style="position:absolute;margin-left:492.667999pt;margin-top:173.177002pt;width:4.3pt;height:4.9pt;mso-position-horizontal-relative:page;mso-position-vertical-relative:page;z-index:-181552" coordorigin="9853,3464" coordsize="86,98">
            <v:shape style="position:absolute;left:9863;top:3463;width:76;height:98" coordorigin="9863,3464" coordsize="76,98" path="m9939,3464l9863,3512,9939,3561,9939,3464xe" filled="true" fillcolor="#231f20" stroked="false">
              <v:path arrowok="t"/>
              <v:fill type="solid"/>
            </v:shape>
            <v:line style="position:absolute" from="9863,3464" to="9863,3561" stroked="true" strokeweight="1.012pt" strokecolor="#231f20">
              <v:stroke dashstyle="solid"/>
            </v:line>
            <w10:wrap type="none"/>
          </v:group>
        </w:pict>
      </w:r>
      <w:r>
        <w:rPr/>
        <w:pict>
          <v:group style="position:absolute;margin-left:531.052979pt;margin-top:173.177002pt;width:4.3pt;height:4.9pt;mso-position-horizontal-relative:page;mso-position-vertical-relative:page;z-index:-181528" coordorigin="10621,3464" coordsize="86,98">
            <v:shape style="position:absolute;left:10621;top:3463;width:76;height:98" coordorigin="10621,3464" coordsize="76,98" path="m10621,3464l10621,3561,10696,3512,10621,3464xe" filled="true" fillcolor="#231f20" stroked="false">
              <v:path arrowok="t"/>
              <v:fill type="solid"/>
            </v:shape>
            <v:line style="position:absolute" from="10696,3464" to="10696,3561" stroked="true" strokeweight="1.012pt" strokecolor="#231f20">
              <v:stroke dashstyle="solid"/>
            </v:line>
            <w10:wrap type="none"/>
          </v:group>
        </w:pict>
      </w:r>
      <w:r>
        <w:rPr/>
        <w:pict>
          <v:group style="position:absolute;margin-left:311.339996pt;margin-top:-197.369003pt;width:177.1pt;height:137.5pt;mso-position-horizontal-relative:page;mso-position-vertical-relative:paragraph;z-index:-181504" coordorigin="6227,-3947" coordsize="3542,2750">
            <v:shape style="position:absolute;left:6312;top:-1365;width:280;height:167" type="#_x0000_t75" stroked="false">
              <v:imagedata r:id="rId119" o:title=""/>
            </v:shape>
            <v:shape style="position:absolute;left:6312;top:-1601;width:280;height:167" type="#_x0000_t75" stroked="false">
              <v:imagedata r:id="rId120" o:title=""/>
            </v:shape>
            <v:shape style="position:absolute;left:8782;top:-1365;width:279;height:167" type="#_x0000_t75" stroked="false">
              <v:imagedata r:id="rId121" o:title=""/>
            </v:shape>
            <v:shape style="position:absolute;left:8782;top:-1601;width:279;height:167" type="#_x0000_t75" stroked="false">
              <v:imagedata r:id="rId122" o:title=""/>
            </v:shape>
            <v:shape style="position:absolute;left:6242;top:-3735;width:3517;height:2060" type="#_x0000_t75" stroked="false">
              <v:imagedata r:id="rId123" o:title=""/>
            </v:shape>
            <v:shape style="position:absolute;left:6242;top:-3944;width:3517;height:306" type="#_x0000_t75" stroked="false">
              <v:imagedata r:id="rId124" o:title=""/>
            </v:shape>
            <v:shape style="position:absolute;left:6242;top:-3436;width:3517;height:675" type="#_x0000_t75" stroked="false">
              <v:imagedata r:id="rId125" o:title=""/>
            </v:shape>
            <v:shape style="position:absolute;left:6242;top:-2713;width:3517;height:617" type="#_x0000_t75" stroked="false">
              <v:imagedata r:id="rId126" o:title=""/>
            </v:shape>
            <v:shape style="position:absolute;left:6242;top:-2048;width:3517;height:373" type="#_x0000_t75" stroked="false">
              <v:imagedata r:id="rId127" o:title=""/>
            </v:shape>
            <v:rect style="position:absolute;left:6242;top:-3944;width:3517;height:2268" filled="false" stroked="true" strokeweight=".217pt" strokecolor="#231f20">
              <v:stroke dashstyle="solid"/>
            </v:rect>
            <v:shape style="position:absolute;left:6242;top:-2409;width:2659;height:733" coordorigin="6242,-2408" coordsize="2659,733" path="m7944,-2338l6313,-2338,6526,-2330,6880,-2307,7178,-2307,7391,-2237,7440,-2143,7440,-1972,7433,-1800,7419,-1676,7497,-1676,7511,-1855,7525,-2026,7596,-2198,7745,-2244,8724,-2244,8312,-2276,7944,-2338xm8724,-2244l7745,-2244,8036,-2198,8475,-2174,8794,-2174,8901,-2190,8894,-2213,8724,-2244xm6604,-2377l6242,-2377,6242,-2322,6313,-2338,7944,-2338,7852,-2354,7766,-2369,6923,-2369,6604,-2377xm7554,-2408l7341,-2408,6923,-2369,7766,-2369,7554,-2408xe" filled="true" fillcolor="#8fc741" stroked="false">
              <v:path arrowok="t"/>
              <v:fill type="solid"/>
            </v:shape>
            <v:shape style="position:absolute;left:6242;top:-2409;width:2659;height:733" coordorigin="6242,-2408" coordsize="2659,733" path="m6242,-2377l6604,-2377,6923,-2369,7164,-2392,7341,-2408,7554,-2408,7852,-2354,8312,-2276,8724,-2244,8894,-2213,8901,-2190,8794,-2174,8475,-2174,8036,-2198,7745,-2244,7596,-2198,7525,-2026,7511,-1855,7497,-1676,7419,-1676,7433,-1800,7440,-1972,7440,-2143,7391,-2237,7178,-2307,6880,-2307,6526,-2330,6313,-2338,6242,-2322,6242,-2377xe" filled="false" stroked="true" strokeweight=".217pt" strokecolor="#231f20">
              <v:path arrowok="t"/>
              <v:stroke dashstyle="solid"/>
            </v:shape>
            <v:shape style="position:absolute;left:6242;top:-3211;width:3397;height:1543" coordorigin="6242,-3211" coordsize="3397,1543" path="m8036,-3211l7710,-3180,7511,-3148,7270,-3125,6823,-3125,6533,-3102,6377,-3078,6242,-3070,6242,-3024,6937,-3024,7249,-3008,7603,-2961,7795,-2922,7908,-2798,7958,-2618,7958,-2221,7937,-1979,7944,-1676,7993,-1668,7986,-1925,7993,-2408,8007,-2774,8064,-2868,8192,-2907,8334,-2946,9624,-2946,9617,-2954,9397,-2969,9156,-2993,8943,-3000,8695,-3032,8539,-3055,8355,-3102,8213,-3133,8036,-3211xm9624,-2946l8334,-2946,8560,-2938,9113,-2891,9418,-2907,9638,-2930,9624,-2946xe" filled="true" fillcolor="#8fc741" stroked="false">
              <v:path arrowok="t"/>
              <v:fill type="solid"/>
            </v:shape>
            <v:shape style="position:absolute;left:6242;top:-3211;width:3397;height:1543" coordorigin="6242,-3211" coordsize="3397,1543" path="m7944,-1676l7937,-1979,7958,-2221,7958,-2618,7908,-2798,7795,-2922,7603,-2961,7249,-3008,6937,-3024,6242,-3024,6242,-3070,6377,-3078,6533,-3102,6823,-3125,7270,-3125,7511,-3148,7710,-3180,7880,-3195,8036,-3211,8213,-3133,8355,-3102,8539,-3055,8695,-3032,8943,-3000,9156,-2993,9397,-2969,9617,-2954,9638,-2930,9418,-2907,9113,-2891,8560,-2938,8334,-2946,8192,-2907,8064,-2868,8007,-2774,7993,-2408,7986,-1925,7993,-1668,7944,-1676xe" filled="false" stroked="true" strokeweight=".217pt" strokecolor="#231f20">
              <v:path arrowok="t"/>
              <v:stroke dashstyle="solid"/>
            </v:shape>
            <v:shape style="position:absolute;left:8453;top:-2627;width:1313;height:226" coordorigin="8453,-2626" coordsize="1313,226" path="m9759,-2626l9248,-2611,8922,-2580,8504,-2533,8487,-2523,8467,-2514,8453,-2504,8454,-2494,8466,-2479,8477,-2463,8489,-2449,8504,-2443,8724,-2424,9099,-2424,9766,-2400,9759,-2626xe" filled="true" fillcolor="#62bb47" stroked="false">
              <v:path arrowok="t"/>
              <v:fill type="solid"/>
            </v:shape>
            <v:shape style="position:absolute;left:8453;top:-2627;width:1313;height:226" coordorigin="8453,-2626" coordsize="1313,226" path="m9759,-2626l9532,-2618,9248,-2611,8922,-2580,8504,-2533,8487,-2523,8467,-2514,8453,-2504,8454,-2494,8466,-2479,8477,-2463,8489,-2449,8504,-2443,8724,-2424,9099,-2424,9560,-2408,9766,-2400,9759,-2626xe" filled="false" stroked="true" strokeweight=".217pt" strokecolor="#231f20">
              <v:path arrowok="t"/>
              <v:stroke dashstyle="solid"/>
            </v:shape>
            <v:shape style="position:absolute;left:8340;top:-1941;width:1418;height:102" coordorigin="8341,-1940" coordsize="1418,102" path="m8447,-1940l8390,-1917,8374,-1908,8355,-1899,8341,-1890,8341,-1878,8369,-1839,8525,-1847,9078,-1847,9355,-1863,9752,-1863,9757,-1917,8709,-1917,8447,-1940xm9078,-1847l8525,-1847,8709,-1839,9078,-1847xm9752,-1863l9617,-1863,9752,-1855,9752,-1863xm9759,-1940l9425,-1940,9206,-1933,8958,-1933,8709,-1917,9757,-1917,9759,-1940xe" filled="true" fillcolor="#92c841" stroked="false">
              <v:path arrowok="t"/>
              <v:fill type="solid"/>
            </v:shape>
            <v:shape style="position:absolute;left:8340;top:-1941;width:1418;height:102" coordorigin="8341,-1940" coordsize="1418,102" path="m9759,-1940l9425,-1940,9206,-1933,8958,-1933,8709,-1917,8447,-1940,8390,-1917,8374,-1908,8355,-1899,8341,-1890,8341,-1878,8369,-1839,8525,-1847,8709,-1839,9078,-1847,9355,-1863,9617,-1863,9752,-1855,9759,-1940xe" filled="false" stroked="true" strokeweight=".217pt" strokecolor="#231f20">
              <v:path arrowok="t"/>
              <v:stroke dashstyle="solid"/>
            </v:shape>
            <v:shape style="position:absolute;left:6239;top:-2876;width:1414;height:219" coordorigin="6240,-2876" coordsize="1414,219" path="m6240,-2876l6242,-2704,6434,-2704,6675,-2696,7029,-2696,7263,-2681,7504,-2657,7653,-2681,7540,-2696,7298,-2774,7121,-2837,6930,-2860,6774,-2860,6240,-2876xe" filled="true" fillcolor="#8fc741" stroked="false">
              <v:path arrowok="t"/>
              <v:fill type="solid"/>
            </v:shape>
            <v:shape style="position:absolute;left:6239;top:-2876;width:1414;height:219" coordorigin="6240,-2876" coordsize="1414,219" path="m6240,-2876l6469,-2868,6774,-2860,6930,-2860,7121,-2837,7298,-2774,7540,-2696,7653,-2681,7504,-2657,7263,-2681,7029,-2696,6675,-2696,6434,-2704,6242,-2704,6240,-2876xe" filled="false" stroked="true" strokeweight=".217pt" strokecolor="#231f20">
              <v:path arrowok="t"/>
              <v:stroke dashstyle="solid"/>
            </v:shape>
            <v:shape style="position:absolute;left:6235;top:-3585;width:2420;height:156" coordorigin="6235,-3585" coordsize="2420,156" path="m7291,-3585l6831,-3569,6242,-3569,6235,-3445,6745,-3445,7291,-3429,8405,-3429,8638,-3460,8653,-3468,8655,-3474,8647,-3482,8634,-3491,8624,-3499,8440,-3499,8100,-3507,7646,-3554,7291,-3585xm8586,-3519l8539,-3517,8489,-3506,8440,-3499,8624,-3499,8586,-3519xe" filled="true" fillcolor="#8fc741" stroked="false">
              <v:path arrowok="t"/>
              <v:fill type="solid"/>
            </v:shape>
            <v:shape style="position:absolute;left:6235;top:-3585;width:2420;height:156" coordorigin="6235,-3585" coordsize="2420,156" path="m6242,-3569l6831,-3569,7050,-3577,7291,-3585,7646,-3554,8100,-3507,8440,-3499,8489,-3506,8539,-3517,8586,-3519,8624,-3499,8634,-3491,8647,-3482,8655,-3474,8653,-3468,8638,-3460,8405,-3429,7291,-3429,6745,-3445,6235,-3445,6242,-3569xe" filled="false" stroked="true" strokeweight=".217pt" strokecolor="#231f20">
              <v:path arrowok="t"/>
              <v:stroke dashstyle="solid"/>
            </v:shape>
            <v:shape style="position:absolute;left:6242;top:-3858;width:3517;height:149" coordorigin="6242,-3858" coordsize="3517,149" path="m9759,-3780l7022,-3780,7603,-3756,8171,-3725,9262,-3709,9759,-3717,9759,-3780xm6972,-3858l6242,-3858,6242,-3772,6356,-3772,6682,-3780,9759,-3780,9759,-3795,8107,-3795,7752,-3842,7263,-3842,6972,-3858xm8695,-3819l8397,-3819,8107,-3795,9759,-3795,9759,-3803,9404,-3803,8695,-3819xm9759,-3819l9404,-3803,9759,-3803,9759,-3819xe" filled="true" fillcolor="#8fc741" stroked="false">
              <v:path arrowok="t"/>
              <v:fill type="solid"/>
            </v:shape>
            <v:shape style="position:absolute;left:6242;top:-3858;width:3517;height:149" coordorigin="6242,-3858" coordsize="3517,149" path="m9759,-3717l9262,-3709,8830,-3717,8171,-3725,7603,-3756,7022,-3780,6682,-3780,6356,-3772,6242,-3772,6242,-3858,6972,-3858,7263,-3842,7752,-3842,8107,-3795,8397,-3819,8695,-3819,9007,-3811,9404,-3803,9759,-3819,9759,-3717xe" filled="false" stroked="true" strokeweight=".217pt" strokecolor="#231f20">
              <v:path arrowok="t"/>
              <v:stroke dashstyle="solid"/>
            </v:shape>
            <v:shape style="position:absolute;left:6459;top:-3289;width:3186;height:78" coordorigin="6460,-3289" coordsize="3186,78" path="m6462,-3281l6460,-3279,6474,-3272,6494,-3264,6512,-3257,6611,-3242,6753,-3234,7703,-3234,8695,-3211,9433,-3211,9624,-3257,9629,-3265,9092,-3265,8745,-3273,6717,-3273,6462,-3281xm9640,-3281l9092,-3265,9629,-3265,9640,-3281xm7880,-3289l7547,-3289,7249,-3281,7022,-3281,6717,-3273,8745,-3273,7880,-3289xm9645,-3289l9640,-3281,9645,-3281,9645,-3289xe" filled="true" fillcolor="#8ed8f8" stroked="false">
              <v:path arrowok="t"/>
              <v:fill type="solid"/>
            </v:shape>
            <v:shape style="position:absolute;left:6459;top:-3289;width:3186;height:78" coordorigin="6460,-3289" coordsize="3186,78" path="m6462,-3281l6717,-3273,7022,-3281,7249,-3281,7547,-3289,7880,-3289,8263,-3281,8745,-3273,9092,-3265,9411,-3273,9645,-3281,9645,-3289,9624,-3257,9433,-3211,8695,-3211,8341,-3219,8078,-3226,7703,-3234,6753,-3234,6611,-3242,6512,-3257,6494,-3264,6474,-3272,6460,-3279,6462,-3281xe" filled="false" stroked="true" strokeweight=".217pt" strokecolor="#231f20">
              <v:path arrowok="t"/>
              <v:stroke dashstyle="solid"/>
            </v:shape>
            <v:shape style="position:absolute;left:6632;top:-3398;width:2766;height:375" coordorigin="6632,-3398" coordsize="2766,375" path="m9388,-3257l7646,-3257,7752,-3242,7816,-3219,7901,-3148,7951,-3070,7986,-3032,8050,-3024,8100,-3047,8135,-3102,8178,-3141,8263,-3211,8390,-3234,9369,-3234,9397,-3250,9388,-3257xm6761,-3335l6738,-3328,6689,-3296,6672,-3290,6653,-3286,6638,-3278,6632,-3265,6632,-3242,6682,-3234,7157,-3250,7568,-3250,7646,-3257,9388,-3257,9383,-3261,9370,-3274,9356,-3284,9340,-3289,9234,-3289,9043,-3320,8915,-3320,8842,-3328,6838,-3328,6812,-3330,6786,-3334,6761,-3335xm7568,-3250l7157,-3250,7341,-3234,7568,-3250xm8007,-3398l7575,-3398,7334,-3374,7043,-3374,6958,-3359,6838,-3328,8842,-3328,8695,-3343,8447,-3367,8241,-3390,8007,-3398xe" filled="true" fillcolor="#f9a870" stroked="false">
              <v:path arrowok="t"/>
              <v:fill type="solid"/>
            </v:shape>
            <v:shape style="position:absolute;left:6632;top:-3398;width:2766;height:375" coordorigin="6632,-3398" coordsize="2766,375" path="m6682,-3234l6944,-3242,7157,-3250,7341,-3234,7568,-3250,7646,-3257,7752,-3242,7816,-3219,7901,-3148,7951,-3070,7986,-3032,8050,-3024,8100,-3047,8135,-3102,8178,-3141,8263,-3211,8390,-3234,9369,-3234,9397,-3250,9383,-3261,9370,-3274,9356,-3284,9340,-3289,9234,-3289,9043,-3320,8915,-3320,8695,-3343,8447,-3367,8241,-3390,8007,-3398,7575,-3398,7334,-3374,7043,-3374,6958,-3359,6838,-3328,6812,-3330,6786,-3334,6761,-3335,6738,-3328,6689,-3296,6672,-3290,6653,-3286,6638,-3278,6632,-3265,6632,-3242,6682,-3234xe" filled="false" stroked="true" strokeweight=".217pt" strokecolor="#231f20">
              <v:path arrowok="t"/>
              <v:stroke dashstyle="solid"/>
            </v:shape>
            <v:shape style="position:absolute;left:7044;top:-3375;width:2034;height:398" coordorigin="7044,-3374" coordsize="2034,398" path="m8773,-3296l7554,-3296,7646,-3281,7731,-3250,7823,-3242,7880,-3203,7915,-3156,7937,-3117,7958,-3055,7986,-2985,8015,-2977,8050,-3016,8107,-3070,8142,-3133,8185,-3172,8277,-3203,8376,-3211,8936,-3211,9021,-3219,9023,-3221,9013,-3225,8998,-3230,8986,-3234,8823,-3234,8766,-3242,8575,-3242,8546,-3257,8568,-3273,9078,-3273,9057,-3289,8908,-3289,8773,-3296xm8709,-3250l8575,-3242,8766,-3242,8709,-3250xm9078,-3273l8695,-3273,8830,-3265,8986,-3265,9078,-3273xm7703,-3374l7610,-3359,7454,-3343,7270,-3343,7249,-3328,7178,-3320,7114,-3320,7050,-3312,7044,-3287,7063,-3291,7298,-3291,7412,-3296,8638,-3296,8525,-3320,8440,-3335,8305,-3343,8163,-3359,8029,-3359,7830,-3367,7703,-3374xm7298,-3291l7063,-3291,7072,-3289,7242,-3289,7298,-3291xe" filled="true" fillcolor="#f58345" stroked="false">
              <v:path arrowok="t"/>
              <v:fill type="solid"/>
            </v:shape>
            <v:shape style="position:absolute;left:7044;top:-3375;width:2034;height:398" coordorigin="7044,-3374" coordsize="2034,398" path="m7958,-3055l7937,-3117,7880,-3203,7823,-3242,7731,-3250,7646,-3281,7554,-3296,7412,-3296,7242,-3289,7072,-3289,7063,-3291,7044,-3287,7046,-3296,7050,-3312,7114,-3320,7178,-3320,7249,-3328,7270,-3343,7454,-3343,7610,-3359,7703,-3374,7830,-3367,8029,-3359,8163,-3359,8305,-3343,8440,-3335,8525,-3320,8638,-3296,8773,-3296,8908,-3289,9057,-3289,9078,-3273,8986,-3265,8830,-3265,8695,-3273,8568,-3273,8546,-3257,8575,-3242,8709,-3250,8823,-3234,8986,-3234,8998,-3230,9013,-3225,9023,-3221,9021,-3219,8936,-3211,8376,-3211,8277,-3203,8185,-3172,8142,-3133,8107,-3070,8050,-3016,8015,-2977,7986,-2985,7958,-3055xe" filled="false" stroked="true" strokeweight=".217pt" strokecolor="#231f20">
              <v:path arrowok="t"/>
              <v:stroke dashstyle="solid"/>
            </v:shape>
            <v:shape style="position:absolute;left:7191;top:-3295;width:433;height:18" coordorigin="7191,-3295" coordsize="433,18" path="m7407,-3280l7280,-3280,7345,-3277,7407,-3280xm7568,-3295l7296,-3295,7237,-3291,7191,-3287,7208,-3280,7463,-3280,7538,-3277,7624,-3284,7568,-3295xe" filled="true" fillcolor="#a7a9ac" stroked="false">
              <v:path arrowok="t"/>
              <v:fill type="solid"/>
            </v:shape>
            <v:shape style="position:absolute;left:7191;top:-3295;width:433;height:18" coordorigin="7191,-3295" coordsize="433,18" path="m7568,-3295l7296,-3295,7237,-3291,7191,-3287,7208,-3280,7280,-3280,7345,-3277,7407,-3280,7463,-3280,7538,-3277,7624,-3284,7568,-3295xe" filled="false" stroked="true" strokeweight=".217pt" strokecolor="#231f20">
              <v:path arrowok="t"/>
              <v:stroke dashstyle="solid"/>
            </v:shape>
            <v:line style="position:absolute" from="7286,-3358" to="7673,-3358" stroked="true" strokeweight="1.622pt" strokecolor="#a7a9ac">
              <v:stroke dashstyle="solid"/>
            </v:line>
            <v:shape style="position:absolute;left:7286;top:-3374;width:387;height:33" coordorigin="7286,-3374" coordsize="387,33" path="m7286,-3349l7365,-3352,7453,-3356,7519,-3359,7594,-3370,7673,-3374,7633,-3356,7568,-3356,7479,-3345,7407,-3341,7339,-3341,7286,-3349xe" filled="false" stroked="true" strokeweight=".217pt" strokecolor="#231f20">
              <v:path arrowok="t"/>
              <v:stroke dashstyle="solid"/>
            </v:shape>
            <v:shape style="position:absolute;left:8439;top:-3331;width:643;height:58" coordorigin="8439,-3331" coordsize="643,58" path="m9081,-3284l8741,-3284,8927,-3277,9042,-3277,9081,-3273,9081,-3284xm8439,-3331l8446,-3320,8488,-3309,8551,-3295,8616,-3284,8679,-3280,8741,-3284,9081,-3284,9068,-3291,8885,-3291,8803,-3298,8656,-3298,8521,-3320,8439,-3331xm9062,-3295l9029,-3291,9068,-3291,9062,-3295xe" filled="true" fillcolor="#a7a9ac" stroked="false">
              <v:path arrowok="t"/>
              <v:fill type="solid"/>
            </v:shape>
            <v:shape style="position:absolute;left:8439;top:-3331;width:643;height:58" coordorigin="8439,-3331" coordsize="643,58" path="m8521,-3320l8656,-3298,8803,-3298,8885,-3291,9029,-3291,9062,-3295,9081,-3284,9081,-3273,9042,-3277,8927,-3277,8836,-3280,8741,-3284,8679,-3280,8616,-3284,8551,-3295,8488,-3309,8446,-3320,8439,-3331,8521,-3320xe" filled="false" stroked="true" strokeweight=".217pt" strokecolor="#231f20">
              <v:path arrowok="t"/>
              <v:stroke dashstyle="solid"/>
            </v:shape>
            <v:shape style="position:absolute;left:6857;top:-3403;width:2195;height:87" coordorigin="6857,-3403" coordsize="2195,87" path="m8298,-3392l7643,-3392,8279,-3377,8367,-3377,8495,-3359,8620,-3352,8767,-3327,8908,-3316,9039,-3316,9052,-3323,8990,-3331,8872,-3334,8728,-3352,8554,-3367,8298,-3392xm7820,-3403l7594,-3403,7473,-3392,7362,-3385,7267,-3377,7155,-3374,7047,-3374,6968,-3359,6857,-3331,6890,-3327,6929,-3334,6978,-3345,7040,-3356,7113,-3363,7208,-3363,7276,-3367,7378,-3370,7476,-3377,7565,-3388,7643,-3392,8298,-3392,8171,-3399,8017,-3399,7820,-3403xe" filled="true" fillcolor="#fed09e" stroked="false">
              <v:path arrowok="t"/>
              <v:fill type="solid"/>
            </v:shape>
            <v:shape style="position:absolute;left:6857;top:-3403;width:2195;height:87" coordorigin="6857,-3403" coordsize="2195,87" path="m6857,-3331l6968,-3359,7047,-3374,7155,-3374,7267,-3377,7362,-3385,7473,-3392,7594,-3403,7820,-3403,8017,-3399,8171,-3399,8298,-3392,8407,-3381,8554,-3367,8728,-3352,8872,-3334,8990,-3331,9052,-3323,9039,-3316,8908,-3316,8767,-3327,8620,-3352,8495,-3359,8367,-3377,8279,-3377,8161,-3381,8007,-3385,7820,-3388,7643,-3392,7565,-3388,7476,-3377,7378,-3370,7276,-3367,7208,-3363,7113,-3363,7040,-3356,6978,-3345,6929,-3334,6890,-3327,6857,-3331xe" filled="false" stroked="true" strokeweight=".217pt" strokecolor="#231f20">
              <v:path arrowok="t"/>
              <v:stroke dashstyle="solid"/>
            </v:shape>
            <v:shape style="position:absolute;left:7787;top:-3230;width:459;height:899" coordorigin="7787,-3229" coordsize="459,899" path="m8023,-2336l8010,-2336,8022,-2331,8023,-2336xm7787,-3229l7885,-3122,7900,-3070,7935,-2939,7963,-2829,8001,-2725,7998,-2604,8004,-2445,7998,-2362,8004,-2335,8010,-2336,8023,-2336,8032,-2428,8045,-2563,8061,-2659,8092,-2742,8114,-2822,8127,-2887,8145,-2981,8010,-2981,7985,-2984,7960,-3053,7932,-3105,7891,-3164,7847,-3191,7815,-3222,7787,-3229xm8246,-3195l8221,-3177,8189,-3146,8145,-3115,8127,-3091,8108,-3063,8086,-3039,8057,-3022,8032,-2994,8010,-2981,8145,-2981,8145,-2984,8177,-3046,8208,-3095,8233,-3157,8246,-3195xe" filled="true" fillcolor="#47a5ae" stroked="false">
              <v:path arrowok="t"/>
              <v:fill type="solid"/>
            </v:shape>
            <v:shape style="position:absolute;left:7787;top:-3230;width:459;height:899" coordorigin="7787,-3229" coordsize="459,899" path="m7787,-3229l7885,-3122,7900,-3070,7935,-2939,7963,-2829,8001,-2725,7998,-2604,8004,-2445,7998,-2362,8004,-2335,8010,-2336,8022,-2331,8023,-2338,8032,-2428,8045,-2563,8061,-2659,8092,-2742,8114,-2822,8127,-2887,8145,-2984,8177,-3046,8208,-3095,8233,-3157,8246,-3195,8221,-3177,8189,-3146,8145,-3115,8127,-3091,8108,-3063,8086,-3039,8057,-3022,8032,-2994,8010,-2981,7985,-2984,7960,-3053,7932,-3105,7891,-3164,7847,-3191,7815,-3222,7787,-3229xe" filled="false" stroked="true" strokeweight=".217pt" strokecolor="#231f20">
              <v:path arrowok="t"/>
              <v:stroke dashstyle="solid"/>
            </v:shape>
            <v:shape style="position:absolute;left:8580;top:-3673;width:1177;height:289" coordorigin="8580,-3673" coordsize="1177,289" path="m8580,-3673l8580,-3385,9225,-3400,9225,-3509,9757,-3533,9750,-3657,8580,-3673xe" filled="true" fillcolor="#ffffff" stroked="false">
              <v:path arrowok="t"/>
              <v:fill type="solid"/>
            </v:shape>
            <v:rect style="position:absolute;left:6231;top:-3943;width:3528;height:2269" filled="false" stroked="true" strokeweight=".502pt" strokecolor="#231f20">
              <v:stroke dashstyle="solid"/>
            </v:rect>
            <v:rect style="position:absolute;left:8964;top:-2018;width:785;height:308" filled="true" fillcolor="#ffffff" stroked="false">
              <v:fill type="solid"/>
            </v:rect>
            <v:shape style="position:absolute;left:8996;top:-1879;width:76;height:98" coordorigin="8997,-1878" coordsize="76,98" path="m9072,-1878l8997,-1830,9072,-1781,9072,-1878xe" filled="true" fillcolor="#231f20" stroked="false">
              <v:path arrowok="t"/>
              <v:fill type="solid"/>
            </v:shape>
            <v:line style="position:absolute" from="8997,-1878" to="8997,-1781" stroked="true" strokeweight="1.012pt" strokecolor="#231f20">
              <v:stroke dashstyle="solid"/>
            </v:line>
            <v:shape style="position:absolute;left:9656;top:-1879;width:76;height:98" coordorigin="9657,-1878" coordsize="76,98" path="m9657,-1878l9657,-1781,9732,-1830,9657,-1878xe" filled="true" fillcolor="#231f20" stroked="false">
              <v:path arrowok="t"/>
              <v:fill type="solid"/>
            </v:shape>
            <v:line style="position:absolute" from="9732,-1878" to="9732,-1781" stroked="true" strokeweight="1.012pt" strokecolor="#231f20">
              <v:stroke dashstyle="solid"/>
            </v:line>
            <v:shape style="position:absolute;left:6254;top:-2140;width:1177;height:289" coordorigin="6255,-2139" coordsize="1177,289" path="m6255,-2139l6255,-1851,6900,-1867,6900,-1950,7135,-1965,7212,-1982,7432,-1999,7425,-2124,6255,-2139xe" filled="true" fillcolor="#ffffff" stroked="false">
              <v:path arrowok="t"/>
              <v:fill type="solid"/>
            </v:shape>
            <w10:wrap type="none"/>
          </v:group>
        </w:pict>
      </w:r>
      <w:r>
        <w:rPr/>
        <w:pict>
          <v:group style="position:absolute;margin-left:502.851013pt;margin-top:340.102997pt;width:4.9pt;height:16.1500pt;mso-position-horizontal-relative:page;mso-position-vertical-relative:page;z-index:-181480" coordorigin="10057,6802" coordsize="98,323">
            <v:line style="position:absolute" from="10106,6885" to="10106,7042" stroked="true" strokeweight=".502pt" strokecolor="#2e3092">
              <v:stroke dashstyle="solid"/>
            </v:line>
            <v:shape style="position:absolute;left:10057;top:6812;width:98;height:76" coordorigin="10057,6812" coordsize="98,76" path="m10106,6812l10057,6887,10155,6887,10106,6812xe" filled="true" fillcolor="#2e3092" stroked="false">
              <v:path arrowok="t"/>
              <v:fill type="solid"/>
            </v:shape>
            <v:line style="position:absolute" from="10155,6812" to="10057,6812" stroked="true" strokeweight="1.012pt" strokecolor="#2e3092">
              <v:stroke dashstyle="solid"/>
            </v:line>
            <v:shape style="position:absolute;left:10057;top:7039;width:98;height:76" coordorigin="10057,7039" coordsize="98,76" path="m10155,7039l10057,7039,10106,7114,10155,7039xe" filled="true" fillcolor="#2e3092" stroked="false">
              <v:path arrowok="t"/>
              <v:fill type="solid"/>
            </v:shape>
            <v:line style="position:absolute" from="10155,7114" to="10057,7114" stroked="true" strokeweight="1.012pt" strokecolor="#2e3092">
              <v:stroke dashstyle="solid"/>
            </v:line>
            <w10:wrap type="none"/>
          </v:group>
        </w:pict>
      </w:r>
      <w:r>
        <w:rPr/>
        <w:pict>
          <v:group style="position:absolute;margin-left:54pt;margin-top:-30.531134pt;width:504pt;height:37.7pt;mso-position-horizontal-relative:page;mso-position-vertical-relative:paragraph;z-index:1912" coordorigin="1080,-611" coordsize="10080,754">
            <v:rect style="position:absolute;left:1080;top:-578;width:10080;height:720" filled="true" fillcolor="#ffffff" stroked="false">
              <v:fill type="solid"/>
            </v:rect>
            <v:shape style="position:absolute;left:1080;top:-611;width:10080;height:754" type="#_x0000_t202" filled="false" stroked="false">
              <v:textbox inset="0,0,0,0">
                <w:txbxContent>
                  <w:p>
                    <w:pPr>
                      <w:spacing w:line="230" w:lineRule="auto" w:before="20"/>
                      <w:ind w:left="19" w:right="17" w:firstLine="0"/>
                      <w:jc w:val="both"/>
                      <w:rPr>
                        <w:sz w:val="16"/>
                      </w:rPr>
                    </w:pPr>
                    <w:r>
                      <w:rPr>
                        <w:b/>
                        <w:color w:val="231F20"/>
                        <w:sz w:val="16"/>
                      </w:rPr>
                      <w:t>F</w:t>
                    </w:r>
                    <w:r>
                      <w:rPr>
                        <w:b/>
                        <w:color w:val="231F20"/>
                        <w:sz w:val="16"/>
                        <w:vertAlign w:val="subscript"/>
                      </w:rPr>
                      <w:t>IGURE</w:t>
                    </w:r>
                    <w:r>
                      <w:rPr>
                        <w:b/>
                        <w:color w:val="231F20"/>
                        <w:sz w:val="16"/>
                        <w:vertAlign w:val="baseline"/>
                      </w:rPr>
                      <w:t> 4. </w:t>
                    </w:r>
                    <w:r>
                      <w:rPr>
                        <w:color w:val="231F20"/>
                        <w:sz w:val="16"/>
                        <w:vertAlign w:val="baseline"/>
                      </w:rPr>
                      <w:t>Graphic representation of the lithological classifications modified from Barrie and Hannington (1999) by Franklin et al. (2005), with the addition of the hybrid bimodal felsic as a VMS-epithermal subtype of bimodal-felsic. Average and median sizes for each type for representative Canadian deposits shown, along with average grade.</w:t>
                    </w:r>
                  </w:p>
                </w:txbxContent>
              </v:textbox>
              <w10:wrap type="none"/>
            </v:shape>
            <w10:wrap type="none"/>
          </v:group>
        </w:pict>
      </w:r>
      <w:r>
        <w:rPr/>
        <w:pict>
          <v:shape style="position:absolute;margin-left:138.454056pt;margin-top:345.448395pt;width:8.75pt;height:23.95pt;mso-position-horizontal-relative:page;mso-position-vertical-relative:page;z-index:-181408" type="#_x0000_t202" filled="false" stroked="false">
            <v:textbox inset="0,0,0,0" style="layout-flow:vertical;mso-layout-flow-alt:bottom-to-top">
              <w:txbxContent>
                <w:p>
                  <w:pPr>
                    <w:spacing w:before="16"/>
                    <w:ind w:left="20" w:right="0" w:firstLine="0"/>
                    <w:jc w:val="left"/>
                    <w:rPr>
                      <w:rFonts w:ascii="Arial"/>
                      <w:sz w:val="12"/>
                    </w:rPr>
                  </w:pPr>
                  <w:r>
                    <w:rPr>
                      <w:rFonts w:ascii="Arial"/>
                      <w:color w:val="231F20"/>
                      <w:sz w:val="12"/>
                    </w:rPr>
                    <w:t>Massive</w:t>
                  </w:r>
                </w:p>
              </w:txbxContent>
            </v:textbox>
            <w10:wrap type="none"/>
          </v:shape>
        </w:pict>
      </w:r>
      <w:r>
        <w:rPr/>
        <w:pict>
          <v:shape style="position:absolute;margin-left:60.247501pt;margin-top:-198.281006pt;width:186.05pt;height:106.4pt;mso-position-horizontal-relative:page;mso-position-vertical-relative:paragraph;z-index:1960" type="#_x0000_t202" filled="false" stroked="false">
            <v:textbox inset="0,0,0,0">
              <w:txbxContent>
                <w:tbl>
                  <w:tblPr>
                    <w:tblW w:w="0" w:type="auto"/>
                    <w:jc w:val="left"/>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3705"/>
                  </w:tblGrid>
                  <w:tr>
                    <w:trPr>
                      <w:trHeight w:val="132" w:hRule="atLeast"/>
                    </w:trPr>
                    <w:tc>
                      <w:tcPr>
                        <w:tcW w:w="3705" w:type="dxa"/>
                        <w:tcBorders>
                          <w:left w:val="single" w:sz="2" w:space="0" w:color="231F20"/>
                          <w:bottom w:val="double" w:sz="1" w:space="0" w:color="231F20"/>
                          <w:right w:val="single" w:sz="2" w:space="0" w:color="231F20"/>
                        </w:tcBorders>
                      </w:tcPr>
                      <w:p>
                        <w:pPr>
                          <w:pStyle w:val="TableParagraph"/>
                          <w:spacing w:line="112" w:lineRule="exact" w:before="0"/>
                          <w:ind w:left="2070"/>
                          <w:rPr>
                            <w:sz w:val="13"/>
                          </w:rPr>
                        </w:pPr>
                        <w:r>
                          <w:rPr>
                            <w:color w:val="231F20"/>
                            <w:sz w:val="13"/>
                          </w:rPr>
                          <w:t>Argillite-shale</w:t>
                        </w:r>
                      </w:p>
                    </w:tc>
                  </w:tr>
                  <w:tr>
                    <w:trPr>
                      <w:trHeight w:val="132" w:hRule="atLeast"/>
                    </w:trPr>
                    <w:tc>
                      <w:tcPr>
                        <w:tcW w:w="3705" w:type="dxa"/>
                        <w:tcBorders>
                          <w:top w:val="double" w:sz="1" w:space="0" w:color="231F20"/>
                          <w:left w:val="single" w:sz="4" w:space="0" w:color="231F20"/>
                          <w:bottom w:val="single" w:sz="2" w:space="0" w:color="231F20"/>
                          <w:right w:val="single" w:sz="6" w:space="0" w:color="231F20"/>
                        </w:tcBorders>
                        <w:shd w:val="clear" w:color="auto" w:fill="BCBEC0"/>
                      </w:tcPr>
                      <w:p>
                        <w:pPr>
                          <w:pStyle w:val="TableParagraph"/>
                          <w:spacing w:line="112" w:lineRule="exact" w:before="0"/>
                          <w:ind w:left="149"/>
                          <w:rPr>
                            <w:sz w:val="13"/>
                          </w:rPr>
                        </w:pPr>
                        <w:r>
                          <w:rPr>
                            <w:color w:val="231F20"/>
                            <w:sz w:val="13"/>
                          </w:rPr>
                          <w:t>Alkaline basalt</w:t>
                        </w:r>
                      </w:p>
                    </w:tc>
                  </w:tr>
                  <w:tr>
                    <w:trPr>
                      <w:trHeight w:val="1772" w:hRule="atLeast"/>
                    </w:trPr>
                    <w:tc>
                      <w:tcPr>
                        <w:tcW w:w="3705" w:type="dxa"/>
                        <w:tcBorders>
                          <w:top w:val="single" w:sz="2" w:space="0" w:color="231F20"/>
                          <w:left w:val="single" w:sz="4" w:space="0" w:color="231F20"/>
                          <w:bottom w:val="single" w:sz="6" w:space="0" w:color="231F20"/>
                          <w:right w:val="single" w:sz="4" w:space="0" w:color="231F20"/>
                        </w:tcBorders>
                      </w:tcPr>
                      <w:p>
                        <w:pPr>
                          <w:pStyle w:val="TableParagraph"/>
                          <w:spacing w:line="145" w:lineRule="exact" w:before="0"/>
                          <w:ind w:left="906"/>
                          <w:rPr>
                            <w:sz w:val="13"/>
                          </w:rPr>
                        </w:pPr>
                        <w:r>
                          <w:rPr>
                            <w:color w:val="231F20"/>
                            <w:sz w:val="13"/>
                          </w:rPr>
                          <w:t>Felsic epiclastic</w:t>
                        </w:r>
                      </w:p>
                      <w:p>
                        <w:pPr>
                          <w:pStyle w:val="TableParagraph"/>
                          <w:spacing w:line="240" w:lineRule="auto" w:before="0"/>
                          <w:rPr>
                            <w:rFonts w:ascii="Times New Roman"/>
                            <w:sz w:val="14"/>
                          </w:rPr>
                        </w:pPr>
                      </w:p>
                      <w:p>
                        <w:pPr>
                          <w:pStyle w:val="TableParagraph"/>
                          <w:spacing w:line="240" w:lineRule="auto" w:before="0"/>
                          <w:rPr>
                            <w:rFonts w:ascii="Times New Roman"/>
                            <w:sz w:val="14"/>
                          </w:rPr>
                        </w:pPr>
                      </w:p>
                      <w:p>
                        <w:pPr>
                          <w:pStyle w:val="TableParagraph"/>
                          <w:spacing w:line="240" w:lineRule="auto" w:before="0"/>
                          <w:rPr>
                            <w:rFonts w:ascii="Times New Roman"/>
                            <w:sz w:val="14"/>
                          </w:rPr>
                        </w:pPr>
                      </w:p>
                      <w:p>
                        <w:pPr>
                          <w:pStyle w:val="TableParagraph"/>
                          <w:spacing w:line="240" w:lineRule="auto" w:before="0"/>
                          <w:rPr>
                            <w:rFonts w:ascii="Times New Roman"/>
                            <w:sz w:val="14"/>
                          </w:rPr>
                        </w:pPr>
                      </w:p>
                      <w:p>
                        <w:pPr>
                          <w:pStyle w:val="TableParagraph"/>
                          <w:spacing w:line="240" w:lineRule="auto" w:before="0"/>
                          <w:rPr>
                            <w:rFonts w:ascii="Times New Roman"/>
                            <w:sz w:val="16"/>
                          </w:rPr>
                        </w:pPr>
                      </w:p>
                      <w:p>
                        <w:pPr>
                          <w:pStyle w:val="TableParagraph"/>
                          <w:spacing w:line="235" w:lineRule="auto" w:before="1"/>
                          <w:ind w:left="1924" w:right="609"/>
                          <w:rPr>
                            <w:sz w:val="13"/>
                          </w:rPr>
                        </w:pPr>
                        <w:r>
                          <w:rPr>
                            <w:color w:val="231F20"/>
                            <w:sz w:val="13"/>
                          </w:rPr>
                          <w:t>Felsic volcaniclastic and epiclastic</w:t>
                        </w:r>
                      </w:p>
                      <w:p>
                        <w:pPr>
                          <w:pStyle w:val="TableParagraph"/>
                          <w:spacing w:line="240" w:lineRule="auto" w:before="0"/>
                          <w:rPr>
                            <w:rFonts w:ascii="Times New Roman"/>
                            <w:sz w:val="14"/>
                          </w:rPr>
                        </w:pPr>
                      </w:p>
                      <w:p>
                        <w:pPr>
                          <w:pStyle w:val="TableParagraph"/>
                          <w:spacing w:line="240" w:lineRule="auto" w:before="8"/>
                          <w:rPr>
                            <w:rFonts w:ascii="Times New Roman"/>
                            <w:sz w:val="12"/>
                          </w:rPr>
                        </w:pPr>
                      </w:p>
                      <w:p>
                        <w:pPr>
                          <w:pStyle w:val="TableParagraph"/>
                          <w:spacing w:line="240" w:lineRule="auto" w:before="0"/>
                          <w:ind w:left="1514"/>
                          <w:rPr>
                            <w:sz w:val="13"/>
                          </w:rPr>
                        </w:pPr>
                        <w:r>
                          <w:rPr>
                            <w:color w:val="231F20"/>
                            <w:w w:val="100"/>
                            <w:sz w:val="13"/>
                            <w:shd w:fill="FFFFFF" w:color="auto" w:val="clear"/>
                          </w:rPr>
                          <w:t> </w:t>
                        </w:r>
                        <w:r>
                          <w:rPr>
                            <w:color w:val="231F20"/>
                            <w:sz w:val="13"/>
                            <w:shd w:fill="FFFFFF" w:color="auto" w:val="clear"/>
                          </w:rPr>
                          <w:t>Basement sediments</w:t>
                        </w:r>
                      </w:p>
                    </w:tc>
                  </w:tr>
                </w:tbl>
                <w:p>
                  <w:pPr>
                    <w:pStyle w:val="BodyText"/>
                  </w:pPr>
                </w:p>
              </w:txbxContent>
            </v:textbox>
            <w10:wrap type="none"/>
          </v:shape>
        </w:pict>
      </w:r>
      <w:r>
        <w:rPr>
          <w:color w:val="231F20"/>
        </w:rPr>
        <w:t>incomplete</w:t>
      </w:r>
      <w:r>
        <w:rPr>
          <w:color w:val="231F20"/>
          <w:spacing w:val="-7"/>
        </w:rPr>
        <w:t> </w:t>
      </w:r>
      <w:r>
        <w:rPr>
          <w:color w:val="231F20"/>
        </w:rPr>
        <w:t>data</w:t>
      </w:r>
      <w:r>
        <w:rPr>
          <w:color w:val="231F20"/>
          <w:spacing w:val="-8"/>
        </w:rPr>
        <w:t> </w:t>
      </w:r>
      <w:r>
        <w:rPr>
          <w:color w:val="231F20"/>
        </w:rPr>
        <w:t>for</w:t>
      </w:r>
      <w:r>
        <w:rPr>
          <w:color w:val="231F20"/>
          <w:spacing w:val="-8"/>
        </w:rPr>
        <w:t> </w:t>
      </w:r>
      <w:r>
        <w:rPr>
          <w:color w:val="231F20"/>
        </w:rPr>
        <w:t>a</w:t>
      </w:r>
      <w:r>
        <w:rPr>
          <w:color w:val="231F20"/>
          <w:spacing w:val="-7"/>
        </w:rPr>
        <w:t> </w:t>
      </w:r>
      <w:r>
        <w:rPr>
          <w:color w:val="231F20"/>
        </w:rPr>
        <w:t>large</w:t>
      </w:r>
      <w:r>
        <w:rPr>
          <w:color w:val="231F20"/>
          <w:spacing w:val="-8"/>
        </w:rPr>
        <w:t> </w:t>
      </w:r>
      <w:r>
        <w:rPr>
          <w:color w:val="231F20"/>
        </w:rPr>
        <w:t>number</w:t>
      </w:r>
      <w:r>
        <w:rPr>
          <w:color w:val="231F20"/>
          <w:spacing w:val="-8"/>
        </w:rPr>
        <w:t> </w:t>
      </w:r>
      <w:r>
        <w:rPr>
          <w:color w:val="231F20"/>
        </w:rPr>
        <w:t>of</w:t>
      </w:r>
      <w:r>
        <w:rPr>
          <w:color w:val="231F20"/>
          <w:spacing w:val="-8"/>
        </w:rPr>
        <w:t> </w:t>
      </w:r>
      <w:r>
        <w:rPr>
          <w:color w:val="231F20"/>
        </w:rPr>
        <w:t>deposits.</w:t>
      </w:r>
      <w:r>
        <w:rPr>
          <w:color w:val="231F20"/>
          <w:spacing w:val="-8"/>
        </w:rPr>
        <w:t> </w:t>
      </w:r>
      <w:r>
        <w:rPr>
          <w:color w:val="231F20"/>
        </w:rPr>
        <w:t>Pb</w:t>
      </w:r>
      <w:r>
        <w:rPr>
          <w:color w:val="231F20"/>
          <w:spacing w:val="-8"/>
        </w:rPr>
        <w:t> </w:t>
      </w:r>
      <w:r>
        <w:rPr>
          <w:color w:val="231F20"/>
        </w:rPr>
        <w:t>grades</w:t>
      </w:r>
      <w:r>
        <w:rPr>
          <w:color w:val="231F20"/>
          <w:spacing w:val="-8"/>
        </w:rPr>
        <w:t> </w:t>
      </w:r>
      <w:r>
        <w:rPr>
          <w:color w:val="231F20"/>
        </w:rPr>
        <w:t>are known for 34% of Canadian deposits, whereas 55% have known</w:t>
      </w:r>
      <w:r>
        <w:rPr>
          <w:color w:val="231F20"/>
          <w:spacing w:val="-15"/>
        </w:rPr>
        <w:t> </w:t>
      </w:r>
      <w:r>
        <w:rPr>
          <w:color w:val="231F20"/>
        </w:rPr>
        <w:t>Au</w:t>
      </w:r>
      <w:r>
        <w:rPr>
          <w:color w:val="231F20"/>
          <w:spacing w:val="-4"/>
        </w:rPr>
        <w:t> </w:t>
      </w:r>
      <w:r>
        <w:rPr>
          <w:color w:val="231F20"/>
        </w:rPr>
        <w:t>grades</w:t>
      </w:r>
      <w:r>
        <w:rPr>
          <w:color w:val="231F20"/>
          <w:spacing w:val="-4"/>
        </w:rPr>
        <w:t> </w:t>
      </w:r>
      <w:r>
        <w:rPr>
          <w:color w:val="231F20"/>
        </w:rPr>
        <w:t>and</w:t>
      </w:r>
      <w:r>
        <w:rPr>
          <w:color w:val="231F20"/>
          <w:spacing w:val="-3"/>
        </w:rPr>
        <w:t> </w:t>
      </w:r>
      <w:r>
        <w:rPr>
          <w:color w:val="231F20"/>
        </w:rPr>
        <w:t>75%</w:t>
      </w:r>
      <w:r>
        <w:rPr>
          <w:color w:val="231F20"/>
          <w:spacing w:val="-4"/>
        </w:rPr>
        <w:t> </w:t>
      </w:r>
      <w:r>
        <w:rPr>
          <w:color w:val="231F20"/>
        </w:rPr>
        <w:t>have</w:t>
      </w:r>
      <w:r>
        <w:rPr>
          <w:color w:val="231F20"/>
          <w:spacing w:val="-4"/>
        </w:rPr>
        <w:t> </w:t>
      </w:r>
      <w:r>
        <w:rPr>
          <w:color w:val="231F20"/>
        </w:rPr>
        <w:t>known</w:t>
      </w:r>
      <w:r>
        <w:rPr>
          <w:color w:val="231F20"/>
          <w:spacing w:val="-15"/>
        </w:rPr>
        <w:t> </w:t>
      </w:r>
      <w:r>
        <w:rPr>
          <w:color w:val="231F20"/>
        </w:rPr>
        <w:t>Ag</w:t>
      </w:r>
      <w:r>
        <w:rPr>
          <w:color w:val="231F20"/>
          <w:spacing w:val="-4"/>
        </w:rPr>
        <w:t> </w:t>
      </w:r>
      <w:r>
        <w:rPr>
          <w:color w:val="231F20"/>
        </w:rPr>
        <w:t>grades.</w:t>
      </w:r>
      <w:r>
        <w:rPr>
          <w:color w:val="231F20"/>
          <w:spacing w:val="-4"/>
        </w:rPr>
        <w:t> </w:t>
      </w:r>
      <w:r>
        <w:rPr>
          <w:color w:val="231F20"/>
        </w:rPr>
        <w:t>From</w:t>
      </w:r>
      <w:r>
        <w:rPr>
          <w:color w:val="231F20"/>
          <w:spacing w:val="-4"/>
        </w:rPr>
        <w:t> </w:t>
      </w:r>
      <w:r>
        <w:rPr>
          <w:color w:val="231F20"/>
        </w:rPr>
        <w:t>the available</w:t>
      </w:r>
      <w:r>
        <w:rPr>
          <w:color w:val="231F20"/>
          <w:spacing w:val="-7"/>
        </w:rPr>
        <w:t> </w:t>
      </w:r>
      <w:r>
        <w:rPr>
          <w:color w:val="231F20"/>
        </w:rPr>
        <w:t>production</w:t>
      </w:r>
      <w:r>
        <w:rPr>
          <w:color w:val="231F20"/>
          <w:spacing w:val="-7"/>
        </w:rPr>
        <w:t> </w:t>
      </w:r>
      <w:r>
        <w:rPr>
          <w:color w:val="231F20"/>
        </w:rPr>
        <w:t>data,</w:t>
      </w:r>
      <w:r>
        <w:rPr>
          <w:color w:val="231F20"/>
          <w:spacing w:val="-7"/>
        </w:rPr>
        <w:t> </w:t>
      </w:r>
      <w:r>
        <w:rPr>
          <w:color w:val="231F20"/>
        </w:rPr>
        <w:t>the</w:t>
      </w:r>
      <w:r>
        <w:rPr>
          <w:color w:val="231F20"/>
          <w:spacing w:val="-7"/>
        </w:rPr>
        <w:t> </w:t>
      </w:r>
      <w:r>
        <w:rPr>
          <w:color w:val="231F20"/>
        </w:rPr>
        <w:t>mean</w:t>
      </w:r>
      <w:r>
        <w:rPr>
          <w:color w:val="231F20"/>
          <w:spacing w:val="-7"/>
        </w:rPr>
        <w:t> </w:t>
      </w:r>
      <w:r>
        <w:rPr>
          <w:color w:val="231F20"/>
        </w:rPr>
        <w:t>and</w:t>
      </w:r>
      <w:r>
        <w:rPr>
          <w:color w:val="231F20"/>
          <w:spacing w:val="-7"/>
        </w:rPr>
        <w:t> </w:t>
      </w:r>
      <w:r>
        <w:rPr>
          <w:color w:val="231F20"/>
        </w:rPr>
        <w:t>median</w:t>
      </w:r>
      <w:r>
        <w:rPr>
          <w:color w:val="231F20"/>
          <w:spacing w:val="-7"/>
        </w:rPr>
        <w:t> </w:t>
      </w:r>
      <w:r>
        <w:rPr>
          <w:color w:val="231F20"/>
        </w:rPr>
        <w:t>(in</w:t>
      </w:r>
      <w:r>
        <w:rPr>
          <w:color w:val="231F20"/>
          <w:spacing w:val="-7"/>
        </w:rPr>
        <w:t> </w:t>
      </w:r>
      <w:r>
        <w:rPr>
          <w:color w:val="231F20"/>
        </w:rPr>
        <w:t>brackets) size and grades for past and present producing Canadian deposits</w:t>
      </w:r>
      <w:r>
        <w:rPr>
          <w:color w:val="231F20"/>
          <w:spacing w:val="26"/>
        </w:rPr>
        <w:t> </w:t>
      </w:r>
      <w:r>
        <w:rPr>
          <w:color w:val="231F20"/>
        </w:rPr>
        <w:t>are</w:t>
      </w:r>
      <w:r>
        <w:rPr>
          <w:color w:val="231F20"/>
          <w:spacing w:val="26"/>
        </w:rPr>
        <w:t> </w:t>
      </w:r>
      <w:r>
        <w:rPr>
          <w:color w:val="231F20"/>
        </w:rPr>
        <w:t>7</w:t>
      </w:r>
      <w:r>
        <w:rPr>
          <w:color w:val="231F20"/>
          <w:spacing w:val="26"/>
        </w:rPr>
        <w:t> </w:t>
      </w:r>
      <w:r>
        <w:rPr>
          <w:color w:val="231F20"/>
        </w:rPr>
        <w:t>306</w:t>
      </w:r>
      <w:r>
        <w:rPr>
          <w:color w:val="231F20"/>
          <w:spacing w:val="26"/>
        </w:rPr>
        <w:t> </w:t>
      </w:r>
      <w:r>
        <w:rPr>
          <w:color w:val="231F20"/>
        </w:rPr>
        <w:t>521</w:t>
      </w:r>
      <w:r>
        <w:rPr>
          <w:color w:val="231F20"/>
          <w:spacing w:val="26"/>
        </w:rPr>
        <w:t> </w:t>
      </w:r>
      <w:r>
        <w:rPr>
          <w:color w:val="231F20"/>
        </w:rPr>
        <w:t>t</w:t>
      </w:r>
      <w:r>
        <w:rPr>
          <w:color w:val="231F20"/>
          <w:spacing w:val="26"/>
        </w:rPr>
        <w:t> </w:t>
      </w:r>
      <w:r>
        <w:rPr>
          <w:color w:val="231F20"/>
        </w:rPr>
        <w:t>grading</w:t>
      </w:r>
      <w:r>
        <w:rPr>
          <w:color w:val="231F20"/>
          <w:spacing w:val="26"/>
        </w:rPr>
        <w:t> </w:t>
      </w:r>
      <w:r>
        <w:rPr>
          <w:color w:val="231F20"/>
        </w:rPr>
        <w:t>4.88%</w:t>
      </w:r>
      <w:r>
        <w:rPr>
          <w:color w:val="231F20"/>
          <w:spacing w:val="26"/>
        </w:rPr>
        <w:t> </w:t>
      </w:r>
      <w:r>
        <w:rPr>
          <w:color w:val="231F20"/>
        </w:rPr>
        <w:t>(4.12)</w:t>
      </w:r>
      <w:r>
        <w:rPr>
          <w:color w:val="231F20"/>
          <w:spacing w:val="26"/>
        </w:rPr>
        <w:t> </w:t>
      </w:r>
      <w:r>
        <w:rPr>
          <w:color w:val="231F20"/>
        </w:rPr>
        <w:t>Zn,</w:t>
      </w:r>
      <w:r>
        <w:rPr>
          <w:color w:val="231F20"/>
          <w:spacing w:val="26"/>
        </w:rPr>
        <w:t> </w:t>
      </w:r>
      <w:r>
        <w:rPr>
          <w:color w:val="231F20"/>
        </w:rPr>
        <w:t>1.62%</w:t>
      </w:r>
    </w:p>
    <w:p>
      <w:pPr>
        <w:pStyle w:val="BodyText"/>
        <w:spacing w:line="213" w:lineRule="exact"/>
        <w:ind w:left="1100"/>
      </w:pPr>
      <w:r>
        <w:rPr>
          <w:color w:val="231F20"/>
        </w:rPr>
        <w:t>(0.70) Cu, 1.639% (1.00) Pb, 63 g/t (37) Ag, and 1.65 g/t</w:t>
      </w:r>
    </w:p>
    <w:p>
      <w:pPr>
        <w:pStyle w:val="BodyText"/>
        <w:spacing w:line="230" w:lineRule="auto" w:before="3"/>
        <w:ind w:left="1100"/>
        <w:jc w:val="both"/>
      </w:pPr>
      <w:r>
        <w:rPr>
          <w:color w:val="231F20"/>
        </w:rPr>
        <w:t>(0.88)</w:t>
      </w:r>
      <w:r>
        <w:rPr>
          <w:color w:val="231F20"/>
          <w:spacing w:val="-18"/>
        </w:rPr>
        <w:t> </w:t>
      </w:r>
      <w:r>
        <w:rPr>
          <w:color w:val="231F20"/>
        </w:rPr>
        <w:t>Au.</w:t>
      </w:r>
      <w:r>
        <w:rPr>
          <w:color w:val="231F20"/>
          <w:spacing w:val="-7"/>
        </w:rPr>
        <w:t> </w:t>
      </w:r>
      <w:r>
        <w:rPr>
          <w:color w:val="231F20"/>
        </w:rPr>
        <w:t>Figure</w:t>
      </w:r>
      <w:r>
        <w:rPr>
          <w:color w:val="231F20"/>
          <w:spacing w:val="-7"/>
        </w:rPr>
        <w:t> </w:t>
      </w:r>
      <w:r>
        <w:rPr>
          <w:color w:val="231F20"/>
        </w:rPr>
        <w:t>9B</w:t>
      </w:r>
      <w:r>
        <w:rPr>
          <w:color w:val="231F20"/>
          <w:spacing w:val="-7"/>
        </w:rPr>
        <w:t> </w:t>
      </w:r>
      <w:r>
        <w:rPr>
          <w:color w:val="231F20"/>
        </w:rPr>
        <w:t>shows</w:t>
      </w:r>
      <w:r>
        <w:rPr>
          <w:color w:val="231F20"/>
          <w:spacing w:val="-7"/>
        </w:rPr>
        <w:t> </w:t>
      </w:r>
      <w:r>
        <w:rPr>
          <w:color w:val="231F20"/>
        </w:rPr>
        <w:t>the</w:t>
      </w:r>
      <w:r>
        <w:rPr>
          <w:color w:val="231F20"/>
          <w:spacing w:val="-7"/>
        </w:rPr>
        <w:t> </w:t>
      </w:r>
      <w:r>
        <w:rPr>
          <w:color w:val="231F20"/>
        </w:rPr>
        <w:t>more</w:t>
      </w:r>
      <w:r>
        <w:rPr>
          <w:color w:val="231F20"/>
          <w:spacing w:val="-7"/>
        </w:rPr>
        <w:t> </w:t>
      </w:r>
      <w:r>
        <w:rPr>
          <w:color w:val="231F20"/>
        </w:rPr>
        <w:t>meaningful</w:t>
      </w:r>
      <w:r>
        <w:rPr>
          <w:color w:val="231F20"/>
          <w:spacing w:val="-7"/>
        </w:rPr>
        <w:t> </w:t>
      </w:r>
      <w:r>
        <w:rPr>
          <w:color w:val="231F20"/>
        </w:rPr>
        <w:t>breakdown of tonnage and grade for each of the five Canadian VMS types as defined by host lithology. Bimodal mafic deposits account for the greatest number and, therefore, the largest aggregate tonnage of the five deposit types, with both silici- clastic types accounting for the largest average tonnage.</w:t>
      </w:r>
      <w:r>
        <w:rPr>
          <w:color w:val="231F20"/>
          <w:spacing w:val="-2"/>
        </w:rPr>
        <w:t> </w:t>
      </w:r>
      <w:r>
        <w:rPr>
          <w:color w:val="231F20"/>
        </w:rPr>
        <w:t>The</w:t>
      </w:r>
    </w:p>
    <w:p>
      <w:pPr>
        <w:pStyle w:val="BodyText"/>
        <w:spacing w:line="230" w:lineRule="auto" w:before="122"/>
        <w:ind w:left="317" w:right="1095"/>
        <w:jc w:val="both"/>
      </w:pPr>
      <w:r>
        <w:rPr/>
        <w:br w:type="column"/>
      </w:r>
      <w:r>
        <w:rPr>
          <w:color w:val="231F20"/>
        </w:rPr>
        <w:t>mafic-siliciclastic deposit types have the highest average tonnage, with the number highly skewed by Windy Craggy. As</w:t>
      </w:r>
      <w:r>
        <w:rPr>
          <w:color w:val="231F20"/>
          <w:spacing w:val="-8"/>
        </w:rPr>
        <w:t> </w:t>
      </w:r>
      <w:r>
        <w:rPr>
          <w:color w:val="231F20"/>
        </w:rPr>
        <w:t>expected,</w:t>
      </w:r>
      <w:r>
        <w:rPr>
          <w:color w:val="231F20"/>
          <w:spacing w:val="-8"/>
        </w:rPr>
        <w:t> </w:t>
      </w:r>
      <w:r>
        <w:rPr>
          <w:color w:val="231F20"/>
        </w:rPr>
        <w:t>the</w:t>
      </w:r>
      <w:r>
        <w:rPr>
          <w:color w:val="231F20"/>
          <w:spacing w:val="-8"/>
        </w:rPr>
        <w:t> </w:t>
      </w:r>
      <w:r>
        <w:rPr>
          <w:color w:val="231F20"/>
        </w:rPr>
        <w:t>three</w:t>
      </w:r>
      <w:r>
        <w:rPr>
          <w:color w:val="231F20"/>
          <w:spacing w:val="-8"/>
        </w:rPr>
        <w:t> </w:t>
      </w:r>
      <w:r>
        <w:rPr>
          <w:color w:val="231F20"/>
        </w:rPr>
        <w:t>deposit</w:t>
      </w:r>
      <w:r>
        <w:rPr>
          <w:color w:val="231F20"/>
          <w:spacing w:val="-8"/>
        </w:rPr>
        <w:t> </w:t>
      </w:r>
      <w:r>
        <w:rPr>
          <w:color w:val="231F20"/>
        </w:rPr>
        <w:t>types</w:t>
      </w:r>
      <w:r>
        <w:rPr>
          <w:color w:val="231F20"/>
          <w:spacing w:val="-8"/>
        </w:rPr>
        <w:t> </w:t>
      </w:r>
      <w:r>
        <w:rPr>
          <w:color w:val="231F20"/>
        </w:rPr>
        <w:t>dominated</w:t>
      </w:r>
      <w:r>
        <w:rPr>
          <w:color w:val="231F20"/>
          <w:spacing w:val="-8"/>
        </w:rPr>
        <w:t> </w:t>
      </w:r>
      <w:r>
        <w:rPr>
          <w:color w:val="231F20"/>
        </w:rPr>
        <w:t>by</w:t>
      </w:r>
      <w:r>
        <w:rPr>
          <w:color w:val="231F20"/>
          <w:spacing w:val="-8"/>
        </w:rPr>
        <w:t> </w:t>
      </w:r>
      <w:r>
        <w:rPr>
          <w:color w:val="231F20"/>
        </w:rPr>
        <w:t>mafic</w:t>
      </w:r>
      <w:r>
        <w:rPr>
          <w:color w:val="231F20"/>
          <w:spacing w:val="-8"/>
        </w:rPr>
        <w:t> </w:t>
      </w:r>
      <w:r>
        <w:rPr>
          <w:color w:val="231F20"/>
        </w:rPr>
        <w:t>vol- canic and volcaniclastic rocks have the highest Cu grades, whereas the two felsic-dominated deposit types contain the highest Pb and Ag contents. The bimodal felsic deposit group contains the highest average gold. Mafic-ultramafic- dominated systems can also contain Se, Co, and Ni. The presence of immature sediments (i.e. black shale) within the footwall stratigraphy can also influence hydrothermal fluid composition, as is postulated for he Se-rich Wolverine and KZK deposits in the Finlayson Lake camp (Bradshaw et al., 2003). Possible contributions from devolatilizing</w:t>
      </w:r>
      <w:r>
        <w:rPr>
          <w:color w:val="231F20"/>
          <w:spacing w:val="42"/>
        </w:rPr>
        <w:t> </w:t>
      </w:r>
      <w:r>
        <w:rPr>
          <w:color w:val="231F20"/>
        </w:rPr>
        <w:t>subvol-</w:t>
      </w:r>
    </w:p>
    <w:p>
      <w:pPr>
        <w:spacing w:after="0" w:line="230" w:lineRule="auto"/>
        <w:jc w:val="both"/>
        <w:sectPr>
          <w:type w:val="continuous"/>
          <w:pgSz w:w="12240" w:h="15840"/>
          <w:pgMar w:top="920" w:bottom="280" w:left="0" w:right="0"/>
          <w:cols w:num="2" w:equalWidth="0">
            <w:col w:w="5943" w:space="40"/>
            <w:col w:w="6257"/>
          </w:cols>
        </w:sectPr>
      </w:pPr>
    </w:p>
    <w:p>
      <w:pPr>
        <w:pStyle w:val="BodyText"/>
        <w:spacing w:before="6"/>
        <w:rPr>
          <w:sz w:val="18"/>
        </w:rPr>
      </w:pPr>
    </w:p>
    <w:p>
      <w:pPr>
        <w:pStyle w:val="BodyText"/>
        <w:ind w:left="1080"/>
      </w:pPr>
      <w:r>
        <w:rPr/>
        <w:drawing>
          <wp:inline distT="0" distB="0" distL="0" distR="0">
            <wp:extent cx="6384797" cy="2816352"/>
            <wp:effectExtent l="0" t="0" r="0" b="0"/>
            <wp:docPr id="33" name="image119.jpeg" descr=""/>
            <wp:cNvGraphicFramePr>
              <a:graphicFrameLocks noChangeAspect="1"/>
            </wp:cNvGraphicFramePr>
            <a:graphic>
              <a:graphicData uri="http://schemas.openxmlformats.org/drawingml/2006/picture">
                <pic:pic>
                  <pic:nvPicPr>
                    <pic:cNvPr id="34" name="image119.jpeg"/>
                    <pic:cNvPicPr/>
                  </pic:nvPicPr>
                  <pic:blipFill>
                    <a:blip r:embed="rId128" cstate="print"/>
                    <a:stretch>
                      <a:fillRect/>
                    </a:stretch>
                  </pic:blipFill>
                  <pic:spPr>
                    <a:xfrm>
                      <a:off x="0" y="0"/>
                      <a:ext cx="6384797" cy="2816352"/>
                    </a:xfrm>
                    <a:prstGeom prst="rect">
                      <a:avLst/>
                    </a:prstGeom>
                  </pic:spPr>
                </pic:pic>
              </a:graphicData>
            </a:graphic>
          </wp:inline>
        </w:drawing>
      </w:r>
      <w:r>
        <w:rPr/>
      </w:r>
    </w:p>
    <w:p>
      <w:pPr>
        <w:pStyle w:val="BodyText"/>
      </w:pPr>
    </w:p>
    <w:p>
      <w:pPr>
        <w:pStyle w:val="BodyText"/>
        <w:spacing w:before="10"/>
        <w:rPr>
          <w:sz w:val="23"/>
        </w:rPr>
      </w:pPr>
    </w:p>
    <w:p>
      <w:pPr>
        <w:spacing w:after="0"/>
        <w:rPr>
          <w:sz w:val="23"/>
        </w:rPr>
        <w:sectPr>
          <w:pgSz w:w="12240" w:h="15840"/>
          <w:pgMar w:header="673" w:footer="779" w:top="1000" w:bottom="960" w:left="0" w:right="0"/>
        </w:sectPr>
      </w:pPr>
    </w:p>
    <w:p>
      <w:pPr>
        <w:pStyle w:val="BodyText"/>
        <w:spacing w:line="230" w:lineRule="auto" w:before="122"/>
        <w:ind w:left="1115"/>
        <w:jc w:val="both"/>
      </w:pPr>
      <w:r>
        <w:rPr/>
        <w:pict>
          <v:group style="position:absolute;margin-left:54pt;margin-top:-21.891241pt;width:504pt;height:29.05pt;mso-position-horizontal-relative:page;mso-position-vertical-relative:paragraph;z-index:2032" coordorigin="1080,-438" coordsize="10080,581">
            <v:rect style="position:absolute;left:1080;top:-405;width:10080;height:548" filled="true" fillcolor="#ffffff" stroked="false">
              <v:fill type="solid"/>
            </v:rect>
            <v:shape style="position:absolute;left:1080;top:-438;width:10080;height:581" type="#_x0000_t202" filled="false" stroked="false">
              <v:textbox inset="0,0,0,0">
                <w:txbxContent>
                  <w:p>
                    <w:pPr>
                      <w:spacing w:line="230" w:lineRule="auto" w:before="20"/>
                      <w:ind w:left="19" w:right="19" w:firstLine="0"/>
                      <w:jc w:val="left"/>
                      <w:rPr>
                        <w:sz w:val="16"/>
                      </w:rPr>
                    </w:pPr>
                    <w:r>
                      <w:rPr>
                        <w:b/>
                        <w:color w:val="231F20"/>
                        <w:sz w:val="16"/>
                      </w:rPr>
                      <w:t>F</w:t>
                    </w:r>
                    <w:r>
                      <w:rPr>
                        <w:b/>
                        <w:color w:val="231F20"/>
                        <w:sz w:val="16"/>
                        <w:vertAlign w:val="subscript"/>
                      </w:rPr>
                      <w:t>IGURE</w:t>
                    </w:r>
                    <w:r>
                      <w:rPr>
                        <w:b/>
                        <w:color w:val="231F20"/>
                        <w:spacing w:val="-17"/>
                        <w:sz w:val="16"/>
                        <w:vertAlign w:val="baseline"/>
                      </w:rPr>
                      <w:t> </w:t>
                    </w:r>
                    <w:r>
                      <w:rPr>
                        <w:b/>
                        <w:color w:val="231F20"/>
                        <w:sz w:val="16"/>
                        <w:vertAlign w:val="baseline"/>
                      </w:rPr>
                      <w:t>5.</w:t>
                    </w:r>
                    <w:r>
                      <w:rPr>
                        <w:b/>
                        <w:color w:val="231F20"/>
                        <w:spacing w:val="-9"/>
                        <w:sz w:val="16"/>
                        <w:vertAlign w:val="baseline"/>
                      </w:rPr>
                      <w:t> </w:t>
                    </w:r>
                    <w:r>
                      <w:rPr>
                        <w:color w:val="231F20"/>
                        <w:sz w:val="16"/>
                        <w:vertAlign w:val="baseline"/>
                      </w:rPr>
                      <w:t>Geographical</w:t>
                    </w:r>
                    <w:r>
                      <w:rPr>
                        <w:color w:val="231F20"/>
                        <w:spacing w:val="-9"/>
                        <w:sz w:val="16"/>
                        <w:vertAlign w:val="baseline"/>
                      </w:rPr>
                      <w:t> </w:t>
                    </w:r>
                    <w:r>
                      <w:rPr>
                        <w:color w:val="231F20"/>
                        <w:sz w:val="16"/>
                        <w:vertAlign w:val="baseline"/>
                      </w:rPr>
                      <w:t>distribution</w:t>
                    </w:r>
                    <w:r>
                      <w:rPr>
                        <w:color w:val="231F20"/>
                        <w:spacing w:val="-9"/>
                        <w:sz w:val="16"/>
                        <w:vertAlign w:val="baseline"/>
                      </w:rPr>
                      <w:t> </w:t>
                    </w:r>
                    <w:r>
                      <w:rPr>
                        <w:color w:val="231F20"/>
                        <w:sz w:val="16"/>
                        <w:vertAlign w:val="baseline"/>
                      </w:rPr>
                      <w:t>of</w:t>
                    </w:r>
                    <w:r>
                      <w:rPr>
                        <w:color w:val="231F20"/>
                        <w:spacing w:val="-9"/>
                        <w:sz w:val="16"/>
                        <w:vertAlign w:val="baseline"/>
                      </w:rPr>
                      <w:t> </w:t>
                    </w:r>
                    <w:r>
                      <w:rPr>
                        <w:color w:val="231F20"/>
                        <w:sz w:val="16"/>
                        <w:vertAlign w:val="baseline"/>
                      </w:rPr>
                      <w:t>ancient</w:t>
                    </w:r>
                    <w:r>
                      <w:rPr>
                        <w:color w:val="231F20"/>
                        <w:spacing w:val="-12"/>
                        <w:sz w:val="16"/>
                        <w:vertAlign w:val="baseline"/>
                      </w:rPr>
                      <w:t> </w:t>
                    </w:r>
                    <w:r>
                      <w:rPr>
                        <w:color w:val="231F20"/>
                        <w:sz w:val="16"/>
                        <w:vertAlign w:val="baseline"/>
                      </w:rPr>
                      <w:t>VMS</w:t>
                    </w:r>
                    <w:r>
                      <w:rPr>
                        <w:color w:val="231F20"/>
                        <w:spacing w:val="-9"/>
                        <w:sz w:val="16"/>
                        <w:vertAlign w:val="baseline"/>
                      </w:rPr>
                      <w:t> </w:t>
                    </w:r>
                    <w:r>
                      <w:rPr>
                        <w:color w:val="231F20"/>
                        <w:sz w:val="16"/>
                        <w:vertAlign w:val="baseline"/>
                      </w:rPr>
                      <w:t>deposits,</w:t>
                    </w:r>
                    <w:r>
                      <w:rPr>
                        <w:color w:val="231F20"/>
                        <w:spacing w:val="-9"/>
                        <w:sz w:val="16"/>
                        <w:vertAlign w:val="baseline"/>
                      </w:rPr>
                      <w:t> </w:t>
                    </w:r>
                    <w:r>
                      <w:rPr>
                        <w:color w:val="231F20"/>
                        <w:sz w:val="16"/>
                        <w:vertAlign w:val="baseline"/>
                      </w:rPr>
                      <w:t>with</w:t>
                    </w:r>
                    <w:r>
                      <w:rPr>
                        <w:color w:val="231F20"/>
                        <w:spacing w:val="-9"/>
                        <w:sz w:val="16"/>
                        <w:vertAlign w:val="baseline"/>
                      </w:rPr>
                      <w:t> </w:t>
                    </w:r>
                    <w:r>
                      <w:rPr>
                        <w:color w:val="231F20"/>
                        <w:sz w:val="16"/>
                        <w:vertAlign w:val="baseline"/>
                      </w:rPr>
                      <w:t>major</w:t>
                    </w:r>
                    <w:r>
                      <w:rPr>
                        <w:color w:val="231F20"/>
                        <w:spacing w:val="-9"/>
                        <w:sz w:val="16"/>
                        <w:vertAlign w:val="baseline"/>
                      </w:rPr>
                      <w:t> </w:t>
                    </w:r>
                    <w:r>
                      <w:rPr>
                        <w:color w:val="231F20"/>
                        <w:sz w:val="16"/>
                        <w:vertAlign w:val="baseline"/>
                      </w:rPr>
                      <w:t>districts</w:t>
                    </w:r>
                    <w:r>
                      <w:rPr>
                        <w:color w:val="231F20"/>
                        <w:spacing w:val="-9"/>
                        <w:sz w:val="16"/>
                        <w:vertAlign w:val="baseline"/>
                      </w:rPr>
                      <w:t> </w:t>
                    </w:r>
                    <w:r>
                      <w:rPr>
                        <w:color w:val="231F20"/>
                        <w:sz w:val="16"/>
                        <w:vertAlign w:val="baseline"/>
                      </w:rPr>
                      <w:t>highlighted</w:t>
                    </w:r>
                    <w:r>
                      <w:rPr>
                        <w:color w:val="231F20"/>
                        <w:spacing w:val="-9"/>
                        <w:sz w:val="16"/>
                        <w:vertAlign w:val="baseline"/>
                      </w:rPr>
                      <w:t> </w:t>
                    </w:r>
                    <w:r>
                      <w:rPr>
                        <w:color w:val="231F20"/>
                        <w:sz w:val="16"/>
                        <w:vertAlign w:val="baseline"/>
                      </w:rPr>
                      <w:t>with</w:t>
                    </w:r>
                    <w:r>
                      <w:rPr>
                        <w:color w:val="231F20"/>
                        <w:spacing w:val="-9"/>
                        <w:sz w:val="16"/>
                        <w:vertAlign w:val="baseline"/>
                      </w:rPr>
                      <w:t> </w:t>
                    </w:r>
                    <w:r>
                      <w:rPr>
                        <w:color w:val="231F20"/>
                        <w:sz w:val="16"/>
                        <w:vertAlign w:val="baseline"/>
                      </w:rPr>
                      <w:t>respect</w:t>
                    </w:r>
                    <w:r>
                      <w:rPr>
                        <w:color w:val="231F20"/>
                        <w:spacing w:val="-9"/>
                        <w:sz w:val="16"/>
                        <w:vertAlign w:val="baseline"/>
                      </w:rPr>
                      <w:t> </w:t>
                    </w:r>
                    <w:r>
                      <w:rPr>
                        <w:color w:val="231F20"/>
                        <w:sz w:val="16"/>
                        <w:vertAlign w:val="baseline"/>
                      </w:rPr>
                      <w:t>to</w:t>
                    </w:r>
                    <w:r>
                      <w:rPr>
                        <w:color w:val="231F20"/>
                        <w:spacing w:val="-9"/>
                        <w:sz w:val="16"/>
                        <w:vertAlign w:val="baseline"/>
                      </w:rPr>
                      <w:t> </w:t>
                    </w:r>
                    <w:r>
                      <w:rPr>
                        <w:color w:val="231F20"/>
                        <w:sz w:val="16"/>
                        <w:vertAlign w:val="baseline"/>
                      </w:rPr>
                      <w:t>known</w:t>
                    </w:r>
                    <w:r>
                      <w:rPr>
                        <w:color w:val="231F20"/>
                        <w:spacing w:val="-9"/>
                        <w:sz w:val="16"/>
                        <w:vertAlign w:val="baseline"/>
                      </w:rPr>
                      <w:t> </w:t>
                    </w:r>
                    <w:r>
                      <w:rPr>
                        <w:color w:val="231F20"/>
                        <w:sz w:val="16"/>
                        <w:vertAlign w:val="baseline"/>
                      </w:rPr>
                      <w:t>aggregate</w:t>
                    </w:r>
                    <w:r>
                      <w:rPr>
                        <w:color w:val="231F20"/>
                        <w:spacing w:val="-9"/>
                        <w:sz w:val="16"/>
                        <w:vertAlign w:val="baseline"/>
                      </w:rPr>
                      <w:t> </w:t>
                    </w:r>
                    <w:r>
                      <w:rPr>
                        <w:color w:val="231F20"/>
                        <w:sz w:val="16"/>
                        <w:vertAlign w:val="baseline"/>
                      </w:rPr>
                      <w:t>geological</w:t>
                    </w:r>
                    <w:r>
                      <w:rPr>
                        <w:color w:val="231F20"/>
                        <w:spacing w:val="-10"/>
                        <w:sz w:val="16"/>
                        <w:vertAlign w:val="baseline"/>
                      </w:rPr>
                      <w:t> </w:t>
                    </w:r>
                    <w:r>
                      <w:rPr>
                        <w:color w:val="231F20"/>
                        <w:sz w:val="16"/>
                        <w:vertAlign w:val="baseline"/>
                      </w:rPr>
                      <w:t>reserves</w:t>
                    </w:r>
                    <w:r>
                      <w:rPr>
                        <w:color w:val="231F20"/>
                        <w:spacing w:val="-9"/>
                        <w:sz w:val="16"/>
                        <w:vertAlign w:val="baseline"/>
                      </w:rPr>
                      <w:t> </w:t>
                    </w:r>
                    <w:r>
                      <w:rPr>
                        <w:color w:val="231F20"/>
                        <w:sz w:val="16"/>
                        <w:vertAlign w:val="baseline"/>
                      </w:rPr>
                      <w:t>(see</w:t>
                    </w:r>
                    <w:r>
                      <w:rPr>
                        <w:color w:val="231F20"/>
                        <w:spacing w:val="-12"/>
                        <w:sz w:val="16"/>
                        <w:vertAlign w:val="baseline"/>
                      </w:rPr>
                      <w:t> </w:t>
                    </w:r>
                    <w:r>
                      <w:rPr>
                        <w:color w:val="231F20"/>
                        <w:spacing w:val="-3"/>
                        <w:sz w:val="16"/>
                        <w:vertAlign w:val="baseline"/>
                      </w:rPr>
                      <w:t>Table </w:t>
                    </w:r>
                    <w:r>
                      <w:rPr>
                        <w:color w:val="231F20"/>
                        <w:sz w:val="16"/>
                        <w:vertAlign w:val="baseline"/>
                      </w:rPr>
                      <w:t>1). Modified from Sinclair et al. (1999) and Franklin et al.</w:t>
                    </w:r>
                    <w:r>
                      <w:rPr>
                        <w:color w:val="231F20"/>
                        <w:spacing w:val="35"/>
                        <w:sz w:val="16"/>
                        <w:vertAlign w:val="baseline"/>
                      </w:rPr>
                      <w:t> </w:t>
                    </w:r>
                    <w:r>
                      <w:rPr>
                        <w:color w:val="231F20"/>
                        <w:sz w:val="16"/>
                        <w:vertAlign w:val="baseline"/>
                      </w:rPr>
                      <w:t>(2005).</w:t>
                    </w:r>
                  </w:p>
                </w:txbxContent>
              </v:textbox>
              <w10:wrap type="none"/>
            </v:shape>
            <w10:wrap type="none"/>
          </v:group>
        </w:pict>
      </w:r>
      <w:r>
        <w:rPr>
          <w:color w:val="231F20"/>
        </w:rPr>
        <w:t>canic intrusions may also account for anomalous Se, Sn, In, Bi, Te, and possibly Au and Sb contents (Hannington et al., 1999c; Yang and Scott, 2003; Dubé et al., 2004).</w:t>
      </w:r>
    </w:p>
    <w:p>
      <w:pPr>
        <w:pStyle w:val="Heading1"/>
        <w:spacing w:before="156"/>
        <w:ind w:left="2624"/>
      </w:pPr>
      <w:r>
        <w:rPr>
          <w:color w:val="231F20"/>
        </w:rPr>
        <w:t>Geological Attributes</w:t>
      </w:r>
    </w:p>
    <w:p>
      <w:pPr>
        <w:spacing w:before="62"/>
        <w:ind w:left="1115" w:right="0" w:firstLine="0"/>
        <w:jc w:val="left"/>
        <w:rPr>
          <w:i/>
          <w:sz w:val="20"/>
        </w:rPr>
      </w:pPr>
      <w:r>
        <w:rPr>
          <w:i/>
          <w:color w:val="231F20"/>
          <w:sz w:val="20"/>
        </w:rPr>
        <w:t>Tectonic Environment</w:t>
      </w:r>
    </w:p>
    <w:p>
      <w:pPr>
        <w:pStyle w:val="BodyText"/>
        <w:spacing w:line="230" w:lineRule="auto" w:before="69"/>
        <w:ind w:left="1115" w:firstLine="216"/>
        <w:jc w:val="both"/>
      </w:pPr>
      <w:r>
        <w:rPr>
          <w:color w:val="231F20"/>
        </w:rPr>
        <w:t>The most common feature among all types of VMS deposits is that they are formed in extensional tectonic set- tings, including both oceanic seafloor spreading and arc environments (Fig. 11). Modern seafloor VMS deposits are recognized in both oceanic spreading ridge and arc environ- ments (Herzig and Hannington, 1995), but deposits that are</w:t>
      </w:r>
    </w:p>
    <w:p>
      <w:pPr>
        <w:pStyle w:val="BodyText"/>
        <w:spacing w:line="230" w:lineRule="auto" w:before="122"/>
        <w:ind w:left="318" w:right="1081"/>
        <w:jc w:val="both"/>
      </w:pPr>
      <w:r>
        <w:rPr/>
        <w:br w:type="column"/>
      </w:r>
      <w:r>
        <w:rPr>
          <w:color w:val="231F20"/>
        </w:rPr>
        <w:t>preserved in the geological record formed mainly in oceanic and continental nascent-arc, rifted arc, and back-arc settings (Franklin et al. 1998; Allen et al., 2002) (Fig. 11). This is because during subduction-driven tectonic activity much of the ancient ocean-floor is subducted, leaving only a few ophiolite suites as remnant obducted ocean-floor. Examples of these include the Ordovician Bay of Islands ophiolite in Newfoundland and the Late Triassic Cache Creek terrane in British Columbia (Bédard and Hébert, 1996; Nelson and Mihalynuk, 2004).</w:t>
      </w:r>
    </w:p>
    <w:p>
      <w:pPr>
        <w:pStyle w:val="BodyText"/>
        <w:spacing w:line="230" w:lineRule="auto" w:before="28"/>
        <w:ind w:left="318" w:right="1219" w:firstLine="216"/>
      </w:pPr>
      <w:r>
        <w:rPr>
          <w:color w:val="231F20"/>
        </w:rPr>
        <w:t>Nascent, or early arc rifting, results from the initial foundering of older thickened oceanic crust, commonly</w:t>
      </w:r>
    </w:p>
    <w:p>
      <w:pPr>
        <w:spacing w:after="0" w:line="230" w:lineRule="auto"/>
        <w:sectPr>
          <w:type w:val="continuous"/>
          <w:pgSz w:w="12240" w:h="15840"/>
          <w:pgMar w:top="920" w:bottom="280" w:left="0" w:right="0"/>
          <w:cols w:num="2" w:equalWidth="0">
            <w:col w:w="5958" w:space="40"/>
            <w:col w:w="6242"/>
          </w:cols>
        </w:sectPr>
      </w:pPr>
    </w:p>
    <w:p>
      <w:pPr>
        <w:spacing w:before="172"/>
        <w:ind w:left="1130" w:right="0" w:firstLine="0"/>
        <w:jc w:val="left"/>
        <w:rPr>
          <w:sz w:val="18"/>
        </w:rPr>
      </w:pPr>
      <w:r>
        <w:rPr/>
        <w:pict>
          <v:line style="position:absolute;mso-position-horizontal-relative:page;mso-position-vertical-relative:paragraph;z-index:1984;mso-wrap-distance-left:0;mso-wrap-distance-right:0" from="53.997002pt,21.118153pt" to="554.521002pt,21.118153pt" stroked="true" strokeweight=".827pt" strokecolor="#231f20">
            <v:stroke dashstyle="solid"/>
            <w10:wrap type="topAndBottom"/>
          </v:line>
        </w:pict>
      </w:r>
      <w:r>
        <w:rPr>
          <w:b/>
          <w:color w:val="231F20"/>
          <w:sz w:val="18"/>
        </w:rPr>
        <w:t>T</w:t>
      </w:r>
      <w:r>
        <w:rPr>
          <w:b/>
          <w:color w:val="231F20"/>
          <w:sz w:val="18"/>
          <w:vertAlign w:val="subscript"/>
        </w:rPr>
        <w:t>ABLE</w:t>
      </w:r>
      <w:r>
        <w:rPr>
          <w:b/>
          <w:color w:val="231F20"/>
          <w:sz w:val="18"/>
          <w:vertAlign w:val="baseline"/>
        </w:rPr>
        <w:t> 1. </w:t>
      </w:r>
      <w:r>
        <w:rPr>
          <w:color w:val="231F20"/>
          <w:sz w:val="18"/>
          <w:vertAlign w:val="baseline"/>
        </w:rPr>
        <w:t>Major world volcanogenic massive sulphide deposits and districts.</w:t>
      </w:r>
    </w:p>
    <w:tbl>
      <w:tblPr>
        <w:tblW w:w="0" w:type="auto"/>
        <w:jc w:val="left"/>
        <w:tblInd w:w="1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3347"/>
        <w:gridCol w:w="1160"/>
        <w:gridCol w:w="593"/>
        <w:gridCol w:w="3072"/>
        <w:gridCol w:w="1340"/>
      </w:tblGrid>
      <w:tr>
        <w:trPr>
          <w:trHeight w:val="228" w:hRule="atLeast"/>
        </w:trPr>
        <w:tc>
          <w:tcPr>
            <w:tcW w:w="498" w:type="dxa"/>
            <w:tcBorders>
              <w:top w:val="single" w:sz="8" w:space="0" w:color="231F20"/>
              <w:bottom w:val="single" w:sz="8" w:space="0" w:color="231F20"/>
            </w:tcBorders>
          </w:tcPr>
          <w:p>
            <w:pPr>
              <w:pStyle w:val="TableParagraph"/>
              <w:spacing w:line="167" w:lineRule="exact" w:before="41"/>
              <w:ind w:left="95" w:right="30"/>
              <w:jc w:val="center"/>
              <w:rPr>
                <w:rFonts w:ascii="Times New Roman"/>
                <w:b/>
                <w:sz w:val="16"/>
              </w:rPr>
            </w:pPr>
            <w:r>
              <w:rPr>
                <w:rFonts w:ascii="Times New Roman"/>
                <w:b/>
                <w:color w:val="231F20"/>
                <w:w w:val="105"/>
                <w:sz w:val="16"/>
              </w:rPr>
              <w:t>No.*</w:t>
            </w:r>
          </w:p>
        </w:tc>
        <w:tc>
          <w:tcPr>
            <w:tcW w:w="3347" w:type="dxa"/>
            <w:tcBorders>
              <w:top w:val="single" w:sz="8" w:space="0" w:color="231F20"/>
              <w:bottom w:val="single" w:sz="8" w:space="0" w:color="231F20"/>
            </w:tcBorders>
          </w:tcPr>
          <w:p>
            <w:pPr>
              <w:pStyle w:val="TableParagraph"/>
              <w:spacing w:line="167" w:lineRule="exact" w:before="41"/>
              <w:ind w:left="845"/>
              <w:rPr>
                <w:rFonts w:ascii="Times New Roman"/>
                <w:b/>
                <w:sz w:val="16"/>
              </w:rPr>
            </w:pPr>
            <w:r>
              <w:rPr>
                <w:rFonts w:ascii="Times New Roman"/>
                <w:b/>
                <w:color w:val="231F20"/>
                <w:w w:val="105"/>
                <w:sz w:val="16"/>
              </w:rPr>
              <w:t>Deposit/District, Country</w:t>
            </w:r>
          </w:p>
        </w:tc>
        <w:tc>
          <w:tcPr>
            <w:tcW w:w="1160" w:type="dxa"/>
            <w:tcBorders>
              <w:top w:val="single" w:sz="8" w:space="0" w:color="231F20"/>
              <w:bottom w:val="single" w:sz="8" w:space="0" w:color="231F20"/>
              <w:right w:val="single" w:sz="8" w:space="0" w:color="231F20"/>
            </w:tcBorders>
          </w:tcPr>
          <w:p>
            <w:pPr>
              <w:pStyle w:val="TableParagraph"/>
              <w:spacing w:line="167" w:lineRule="exact" w:before="41"/>
              <w:ind w:left="83" w:right="33"/>
              <w:jc w:val="center"/>
              <w:rPr>
                <w:rFonts w:ascii="Times New Roman"/>
                <w:b/>
                <w:sz w:val="16"/>
              </w:rPr>
            </w:pPr>
            <w:r>
              <w:rPr>
                <w:rFonts w:ascii="Times New Roman"/>
                <w:b/>
                <w:color w:val="231F20"/>
                <w:w w:val="105"/>
                <w:sz w:val="16"/>
              </w:rPr>
              <w:t>Tonnage (Mt)</w:t>
            </w:r>
          </w:p>
        </w:tc>
        <w:tc>
          <w:tcPr>
            <w:tcW w:w="593" w:type="dxa"/>
            <w:tcBorders>
              <w:top w:val="single" w:sz="8" w:space="0" w:color="231F20"/>
              <w:left w:val="single" w:sz="8" w:space="0" w:color="231F20"/>
              <w:bottom w:val="single" w:sz="8" w:space="0" w:color="231F20"/>
            </w:tcBorders>
          </w:tcPr>
          <w:p>
            <w:pPr>
              <w:pStyle w:val="TableParagraph"/>
              <w:spacing w:line="167" w:lineRule="exact" w:before="41"/>
              <w:ind w:left="135" w:right="16"/>
              <w:jc w:val="center"/>
              <w:rPr>
                <w:rFonts w:ascii="Times New Roman"/>
                <w:b/>
                <w:sz w:val="16"/>
              </w:rPr>
            </w:pPr>
            <w:r>
              <w:rPr>
                <w:rFonts w:ascii="Times New Roman"/>
                <w:b/>
                <w:color w:val="231F20"/>
                <w:w w:val="105"/>
                <w:sz w:val="16"/>
              </w:rPr>
              <w:t>No.*</w:t>
            </w:r>
          </w:p>
        </w:tc>
        <w:tc>
          <w:tcPr>
            <w:tcW w:w="3072" w:type="dxa"/>
            <w:tcBorders>
              <w:top w:val="single" w:sz="8" w:space="0" w:color="231F20"/>
              <w:bottom w:val="single" w:sz="8" w:space="0" w:color="231F20"/>
            </w:tcBorders>
          </w:tcPr>
          <w:p>
            <w:pPr>
              <w:pStyle w:val="TableParagraph"/>
              <w:spacing w:line="167" w:lineRule="exact" w:before="41"/>
              <w:ind w:left="830"/>
              <w:rPr>
                <w:rFonts w:ascii="Times New Roman"/>
                <w:b/>
                <w:sz w:val="16"/>
              </w:rPr>
            </w:pPr>
            <w:r>
              <w:rPr>
                <w:rFonts w:ascii="Times New Roman"/>
                <w:b/>
                <w:color w:val="231F20"/>
                <w:w w:val="105"/>
                <w:sz w:val="16"/>
              </w:rPr>
              <w:t>Deposit/District, Country</w:t>
            </w:r>
          </w:p>
        </w:tc>
        <w:tc>
          <w:tcPr>
            <w:tcW w:w="1340" w:type="dxa"/>
            <w:tcBorders>
              <w:top w:val="single" w:sz="8" w:space="0" w:color="231F20"/>
              <w:bottom w:val="single" w:sz="8" w:space="0" w:color="231F20"/>
            </w:tcBorders>
          </w:tcPr>
          <w:p>
            <w:pPr>
              <w:pStyle w:val="TableParagraph"/>
              <w:spacing w:line="167" w:lineRule="exact" w:before="41"/>
              <w:ind w:left="366" w:right="-15"/>
              <w:jc w:val="center"/>
              <w:rPr>
                <w:rFonts w:ascii="Times New Roman"/>
                <w:b/>
                <w:sz w:val="16"/>
              </w:rPr>
            </w:pPr>
            <w:r>
              <w:rPr>
                <w:rFonts w:ascii="Times New Roman"/>
                <w:b/>
                <w:color w:val="231F20"/>
                <w:w w:val="105"/>
                <w:sz w:val="16"/>
              </w:rPr>
              <w:t>Tonnage</w:t>
            </w:r>
            <w:r>
              <w:rPr>
                <w:rFonts w:ascii="Times New Roman"/>
                <w:b/>
                <w:color w:val="231F20"/>
                <w:spacing w:val="-10"/>
                <w:w w:val="105"/>
                <w:sz w:val="16"/>
              </w:rPr>
              <w:t> </w:t>
            </w:r>
            <w:r>
              <w:rPr>
                <w:rFonts w:ascii="Times New Roman"/>
                <w:b/>
                <w:color w:val="231F20"/>
                <w:w w:val="105"/>
                <w:sz w:val="16"/>
              </w:rPr>
              <w:t>(Mt)</w:t>
            </w:r>
          </w:p>
        </w:tc>
      </w:tr>
      <w:tr>
        <w:trPr>
          <w:trHeight w:val="198" w:hRule="atLeast"/>
        </w:trPr>
        <w:tc>
          <w:tcPr>
            <w:tcW w:w="498" w:type="dxa"/>
            <w:tcBorders>
              <w:top w:val="single" w:sz="8" w:space="0" w:color="231F20"/>
            </w:tcBorders>
          </w:tcPr>
          <w:p>
            <w:pPr>
              <w:pStyle w:val="TableParagraph"/>
              <w:spacing w:line="177" w:lineRule="exact" w:before="1"/>
              <w:ind w:left="64"/>
              <w:jc w:val="center"/>
              <w:rPr>
                <w:rFonts w:ascii="Times New Roman"/>
                <w:sz w:val="16"/>
              </w:rPr>
            </w:pPr>
            <w:r>
              <w:rPr>
                <w:rFonts w:ascii="Times New Roman"/>
                <w:color w:val="231F20"/>
                <w:w w:val="104"/>
                <w:sz w:val="16"/>
              </w:rPr>
              <w:t>1</w:t>
            </w:r>
          </w:p>
        </w:tc>
        <w:tc>
          <w:tcPr>
            <w:tcW w:w="3347" w:type="dxa"/>
            <w:tcBorders>
              <w:top w:val="single" w:sz="8" w:space="0" w:color="231F20"/>
            </w:tcBorders>
          </w:tcPr>
          <w:p>
            <w:pPr>
              <w:pStyle w:val="TableParagraph"/>
              <w:spacing w:line="177" w:lineRule="exact" w:before="1"/>
              <w:ind w:left="69"/>
              <w:rPr>
                <w:rFonts w:ascii="Times New Roman"/>
                <w:sz w:val="16"/>
              </w:rPr>
            </w:pPr>
            <w:r>
              <w:rPr>
                <w:rFonts w:ascii="Times New Roman"/>
                <w:color w:val="231F20"/>
                <w:w w:val="105"/>
                <w:sz w:val="16"/>
              </w:rPr>
              <w:t>Brooks Range, Alaska</w:t>
            </w:r>
          </w:p>
        </w:tc>
        <w:tc>
          <w:tcPr>
            <w:tcW w:w="1160" w:type="dxa"/>
            <w:tcBorders>
              <w:top w:val="single" w:sz="8" w:space="0" w:color="231F20"/>
              <w:right w:val="single" w:sz="8" w:space="0" w:color="231F20"/>
            </w:tcBorders>
          </w:tcPr>
          <w:p>
            <w:pPr>
              <w:pStyle w:val="TableParagraph"/>
              <w:spacing w:line="177" w:lineRule="exact" w:before="1"/>
              <w:ind w:left="83" w:right="33"/>
              <w:jc w:val="center"/>
              <w:rPr>
                <w:rFonts w:ascii="Times New Roman"/>
                <w:sz w:val="16"/>
              </w:rPr>
            </w:pPr>
            <w:r>
              <w:rPr>
                <w:rFonts w:ascii="Times New Roman"/>
                <w:color w:val="231F20"/>
                <w:w w:val="105"/>
                <w:sz w:val="16"/>
              </w:rPr>
              <w:t>35</w:t>
            </w:r>
          </w:p>
        </w:tc>
        <w:tc>
          <w:tcPr>
            <w:tcW w:w="593" w:type="dxa"/>
            <w:tcBorders>
              <w:top w:val="single" w:sz="8" w:space="0" w:color="231F20"/>
              <w:left w:val="single" w:sz="8" w:space="0" w:color="231F20"/>
            </w:tcBorders>
          </w:tcPr>
          <w:p>
            <w:pPr>
              <w:pStyle w:val="TableParagraph"/>
              <w:spacing w:line="177" w:lineRule="exact" w:before="1"/>
              <w:ind w:left="134" w:right="16"/>
              <w:jc w:val="center"/>
              <w:rPr>
                <w:rFonts w:ascii="Times New Roman"/>
                <w:sz w:val="16"/>
              </w:rPr>
            </w:pPr>
            <w:r>
              <w:rPr>
                <w:rFonts w:ascii="Times New Roman"/>
                <w:color w:val="231F20"/>
                <w:w w:val="105"/>
                <w:sz w:val="16"/>
              </w:rPr>
              <w:t>23</w:t>
            </w:r>
          </w:p>
        </w:tc>
        <w:tc>
          <w:tcPr>
            <w:tcW w:w="3072" w:type="dxa"/>
            <w:tcBorders>
              <w:top w:val="single" w:sz="8" w:space="0" w:color="231F20"/>
            </w:tcBorders>
          </w:tcPr>
          <w:p>
            <w:pPr>
              <w:pStyle w:val="TableParagraph"/>
              <w:spacing w:line="177" w:lineRule="exact" w:before="1"/>
              <w:ind w:left="54"/>
              <w:rPr>
                <w:rFonts w:ascii="Times New Roman"/>
                <w:sz w:val="16"/>
              </w:rPr>
            </w:pPr>
            <w:r>
              <w:rPr>
                <w:rFonts w:ascii="Times New Roman"/>
                <w:color w:val="231F20"/>
                <w:w w:val="105"/>
                <w:sz w:val="16"/>
              </w:rPr>
              <w:t>Skellefte, Sweden</w:t>
            </w:r>
          </w:p>
        </w:tc>
        <w:tc>
          <w:tcPr>
            <w:tcW w:w="1340" w:type="dxa"/>
            <w:tcBorders>
              <w:top w:val="single" w:sz="8" w:space="0" w:color="231F20"/>
            </w:tcBorders>
          </w:tcPr>
          <w:p>
            <w:pPr>
              <w:pStyle w:val="TableParagraph"/>
              <w:spacing w:line="177" w:lineRule="exact" w:before="1"/>
              <w:ind w:left="713" w:right="333"/>
              <w:jc w:val="center"/>
              <w:rPr>
                <w:rFonts w:ascii="Times New Roman"/>
                <w:sz w:val="16"/>
              </w:rPr>
            </w:pPr>
            <w:r>
              <w:rPr>
                <w:rFonts w:ascii="Times New Roman"/>
                <w:color w:val="231F20"/>
                <w:w w:val="105"/>
                <w:sz w:val="16"/>
              </w:rPr>
              <w:t>70</w:t>
            </w:r>
          </w:p>
        </w:tc>
      </w:tr>
      <w:tr>
        <w:trPr>
          <w:trHeight w:val="208" w:hRule="atLeast"/>
        </w:trPr>
        <w:tc>
          <w:tcPr>
            <w:tcW w:w="498" w:type="dxa"/>
          </w:tcPr>
          <w:p>
            <w:pPr>
              <w:pStyle w:val="TableParagraph"/>
              <w:spacing w:line="177" w:lineRule="exact" w:before="11"/>
              <w:ind w:left="64"/>
              <w:jc w:val="center"/>
              <w:rPr>
                <w:rFonts w:ascii="Times New Roman"/>
                <w:sz w:val="16"/>
              </w:rPr>
            </w:pPr>
            <w:r>
              <w:rPr>
                <w:rFonts w:ascii="Times New Roman"/>
                <w:color w:val="231F20"/>
                <w:w w:val="104"/>
                <w:sz w:val="16"/>
              </w:rPr>
              <w:t>2</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Finlayson Lake, Yukon</w:t>
            </w:r>
          </w:p>
        </w:tc>
        <w:tc>
          <w:tcPr>
            <w:tcW w:w="1160" w:type="dxa"/>
            <w:tcBorders>
              <w:right w:val="single" w:sz="8" w:space="0" w:color="231F20"/>
            </w:tcBorders>
          </w:tcPr>
          <w:p>
            <w:pPr>
              <w:pStyle w:val="TableParagraph"/>
              <w:spacing w:line="177" w:lineRule="exact" w:before="11"/>
              <w:ind w:left="83" w:right="33"/>
              <w:jc w:val="center"/>
              <w:rPr>
                <w:rFonts w:ascii="Times New Roman"/>
                <w:sz w:val="16"/>
              </w:rPr>
            </w:pPr>
            <w:r>
              <w:rPr>
                <w:rFonts w:ascii="Times New Roman"/>
                <w:color w:val="231F20"/>
                <w:w w:val="105"/>
                <w:sz w:val="16"/>
              </w:rPr>
              <w:t>20</w:t>
            </w:r>
          </w:p>
        </w:tc>
        <w:tc>
          <w:tcPr>
            <w:tcW w:w="593" w:type="dxa"/>
            <w:tcBorders>
              <w:left w:val="single" w:sz="8" w:space="0" w:color="231F20"/>
            </w:tcBorders>
          </w:tcPr>
          <w:p>
            <w:pPr>
              <w:pStyle w:val="TableParagraph"/>
              <w:spacing w:line="177" w:lineRule="exact" w:before="11"/>
              <w:ind w:left="134" w:right="16"/>
              <w:jc w:val="center"/>
              <w:rPr>
                <w:rFonts w:ascii="Times New Roman"/>
                <w:sz w:val="16"/>
              </w:rPr>
            </w:pPr>
            <w:r>
              <w:rPr>
                <w:rFonts w:ascii="Times New Roman"/>
                <w:color w:val="231F20"/>
                <w:w w:val="105"/>
                <w:sz w:val="16"/>
              </w:rPr>
              <w:t>24</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Outokumpu-Pyhasalmi, Finland</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90</w:t>
            </w:r>
          </w:p>
        </w:tc>
      </w:tr>
      <w:tr>
        <w:trPr>
          <w:trHeight w:val="208" w:hRule="atLeast"/>
        </w:trPr>
        <w:tc>
          <w:tcPr>
            <w:tcW w:w="498" w:type="dxa"/>
          </w:tcPr>
          <w:p>
            <w:pPr>
              <w:pStyle w:val="TableParagraph"/>
              <w:spacing w:line="177" w:lineRule="exact" w:before="11"/>
              <w:ind w:left="64"/>
              <w:jc w:val="center"/>
              <w:rPr>
                <w:rFonts w:ascii="Times New Roman"/>
                <w:sz w:val="16"/>
              </w:rPr>
            </w:pPr>
            <w:r>
              <w:rPr>
                <w:rFonts w:ascii="Times New Roman"/>
                <w:color w:val="231F20"/>
                <w:w w:val="104"/>
                <w:sz w:val="16"/>
              </w:rPr>
              <w:t>3</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Windy Craggy, BC &amp; Green's Creek, Alaska</w:t>
            </w:r>
          </w:p>
        </w:tc>
        <w:tc>
          <w:tcPr>
            <w:tcW w:w="1160" w:type="dxa"/>
            <w:tcBorders>
              <w:right w:val="single" w:sz="8" w:space="0" w:color="231F20"/>
            </w:tcBorders>
          </w:tcPr>
          <w:p>
            <w:pPr>
              <w:pStyle w:val="TableParagraph"/>
              <w:spacing w:line="177" w:lineRule="exact" w:before="11"/>
              <w:ind w:left="83" w:right="33"/>
              <w:jc w:val="center"/>
              <w:rPr>
                <w:rFonts w:ascii="Times New Roman"/>
                <w:sz w:val="16"/>
              </w:rPr>
            </w:pPr>
            <w:r>
              <w:rPr>
                <w:rFonts w:ascii="Times New Roman"/>
                <w:color w:val="231F20"/>
                <w:w w:val="105"/>
                <w:sz w:val="16"/>
              </w:rPr>
              <w:t>300</w:t>
            </w:r>
          </w:p>
        </w:tc>
        <w:tc>
          <w:tcPr>
            <w:tcW w:w="593" w:type="dxa"/>
            <w:tcBorders>
              <w:left w:val="single" w:sz="8" w:space="0" w:color="231F20"/>
            </w:tcBorders>
          </w:tcPr>
          <w:p>
            <w:pPr>
              <w:pStyle w:val="TableParagraph"/>
              <w:spacing w:line="177" w:lineRule="exact" w:before="11"/>
              <w:ind w:left="134" w:right="16"/>
              <w:jc w:val="center"/>
              <w:rPr>
                <w:rFonts w:ascii="Times New Roman"/>
                <w:sz w:val="16"/>
              </w:rPr>
            </w:pPr>
            <w:r>
              <w:rPr>
                <w:rFonts w:ascii="Times New Roman"/>
                <w:color w:val="231F20"/>
                <w:w w:val="105"/>
                <w:sz w:val="16"/>
              </w:rPr>
              <w:t>25</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Bergslagen-Orijarvi, Sweden &amp; Finland</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110</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4</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Northern Cordillera, British Columbia</w:t>
            </w:r>
          </w:p>
        </w:tc>
        <w:tc>
          <w:tcPr>
            <w:tcW w:w="1160" w:type="dxa"/>
            <w:tcBorders>
              <w:right w:val="single" w:sz="8" w:space="0" w:color="231F20"/>
            </w:tcBorders>
          </w:tcPr>
          <w:p>
            <w:pPr>
              <w:pStyle w:val="TableParagraph"/>
              <w:spacing w:line="177" w:lineRule="exact" w:before="11"/>
              <w:ind w:left="83" w:right="33"/>
              <w:jc w:val="center"/>
              <w:rPr>
                <w:rFonts w:ascii="Times New Roman"/>
                <w:sz w:val="16"/>
              </w:rPr>
            </w:pPr>
            <w:r>
              <w:rPr>
                <w:rFonts w:ascii="Times New Roman"/>
                <w:color w:val="231F20"/>
                <w:w w:val="105"/>
                <w:sz w:val="16"/>
              </w:rPr>
              <w:t>100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26</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Preiska, South Africa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45</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5</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Myra Falls, British Columbia</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35</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27</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Troodos, Cyprus</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35</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6</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Shasta, California</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35</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28</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Black Sea, Turkey</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200</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7</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Jerome, Arizona</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40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29</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Saudi Arabia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70</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8</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Central Mexico</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120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30</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Semail, Oman</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30</w:t>
            </w:r>
          </w:p>
        </w:tc>
      </w:tr>
      <w:tr>
        <w:trPr>
          <w:trHeight w:val="208" w:hRule="atLeast"/>
        </w:trPr>
        <w:tc>
          <w:tcPr>
            <w:tcW w:w="498" w:type="dxa"/>
          </w:tcPr>
          <w:p>
            <w:pPr>
              <w:pStyle w:val="TableParagraph"/>
              <w:spacing w:line="177" w:lineRule="exact" w:before="11"/>
              <w:ind w:left="65"/>
              <w:jc w:val="center"/>
              <w:rPr>
                <w:rFonts w:ascii="Times New Roman"/>
                <w:sz w:val="16"/>
              </w:rPr>
            </w:pPr>
            <w:r>
              <w:rPr>
                <w:rFonts w:ascii="Times New Roman"/>
                <w:color w:val="231F20"/>
                <w:w w:val="104"/>
                <w:sz w:val="16"/>
              </w:rPr>
              <w:t>9</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Tambo Grande, Peru</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200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31</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Southern Urals, Russia / Kazahkstan</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400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10</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Amazonian craton, Brazil</w:t>
            </w:r>
          </w:p>
        </w:tc>
        <w:tc>
          <w:tcPr>
            <w:tcW w:w="1160" w:type="dxa"/>
            <w:tcBorders>
              <w:right w:val="single" w:sz="8" w:space="0" w:color="231F20"/>
            </w:tcBorders>
          </w:tcPr>
          <w:p>
            <w:pPr>
              <w:pStyle w:val="TableParagraph"/>
              <w:spacing w:line="177" w:lineRule="exact" w:before="11"/>
              <w:ind w:left="83" w:right="31"/>
              <w:jc w:val="center"/>
              <w:rPr>
                <w:rFonts w:ascii="Times New Roman"/>
                <w:sz w:val="16"/>
              </w:rPr>
            </w:pPr>
            <w:r>
              <w:rPr>
                <w:rFonts w:ascii="Times New Roman"/>
                <w:color w:val="231F20"/>
                <w:w w:val="105"/>
                <w:sz w:val="16"/>
              </w:rPr>
              <w:t>35</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32</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Central Urals, Russia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100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11</w:t>
            </w:r>
          </w:p>
        </w:tc>
        <w:tc>
          <w:tcPr>
            <w:tcW w:w="3347" w:type="dxa"/>
          </w:tcPr>
          <w:p>
            <w:pPr>
              <w:pStyle w:val="TableParagraph"/>
              <w:spacing w:line="177" w:lineRule="exact" w:before="11"/>
              <w:ind w:left="70"/>
              <w:rPr>
                <w:rFonts w:ascii="Times New Roman"/>
                <w:sz w:val="16"/>
              </w:rPr>
            </w:pPr>
            <w:r>
              <w:rPr>
                <w:rFonts w:ascii="Times New Roman"/>
                <w:color w:val="231F20"/>
                <w:w w:val="105"/>
                <w:sz w:val="16"/>
              </w:rPr>
              <w:t>Slave Province, Northwest Territories, Nunavut</w:t>
            </w:r>
          </w:p>
        </w:tc>
        <w:tc>
          <w:tcPr>
            <w:tcW w:w="1160" w:type="dxa"/>
            <w:tcBorders>
              <w:right w:val="single" w:sz="8" w:space="0" w:color="231F20"/>
            </w:tcBorders>
          </w:tcPr>
          <w:p>
            <w:pPr>
              <w:pStyle w:val="TableParagraph"/>
              <w:spacing w:line="177" w:lineRule="exact" w:before="11"/>
              <w:ind w:left="83" w:right="31"/>
              <w:jc w:val="center"/>
              <w:rPr>
                <w:rFonts w:ascii="Times New Roman"/>
                <w:sz w:val="16"/>
              </w:rPr>
            </w:pPr>
            <w:r>
              <w:rPr>
                <w:rFonts w:ascii="Times New Roman"/>
                <w:color w:val="231F20"/>
                <w:w w:val="105"/>
                <w:sz w:val="16"/>
              </w:rPr>
              <w:t>30</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33</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Rudny Altai, Kazahkstan / Russia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400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12</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Ruttan, Manitoba</w:t>
            </w:r>
          </w:p>
        </w:tc>
        <w:tc>
          <w:tcPr>
            <w:tcW w:w="1160" w:type="dxa"/>
            <w:tcBorders>
              <w:right w:val="single" w:sz="8" w:space="0" w:color="231F20"/>
            </w:tcBorders>
          </w:tcPr>
          <w:p>
            <w:pPr>
              <w:pStyle w:val="TableParagraph"/>
              <w:spacing w:line="177" w:lineRule="exact" w:before="11"/>
              <w:ind w:left="83" w:right="31"/>
              <w:jc w:val="center"/>
              <w:rPr>
                <w:rFonts w:ascii="Times New Roman"/>
                <w:sz w:val="16"/>
              </w:rPr>
            </w:pPr>
            <w:r>
              <w:rPr>
                <w:rFonts w:ascii="Times New Roman"/>
                <w:color w:val="231F20"/>
                <w:w w:val="105"/>
                <w:sz w:val="16"/>
              </w:rPr>
              <w:t>85</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34</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Altai Shan, Mongolia</w:t>
            </w:r>
          </w:p>
        </w:tc>
        <w:tc>
          <w:tcPr>
            <w:tcW w:w="1340" w:type="dxa"/>
          </w:tcPr>
          <w:p>
            <w:pPr>
              <w:pStyle w:val="TableParagraph"/>
              <w:spacing w:line="177" w:lineRule="exact" w:before="11"/>
              <w:ind w:left="714" w:right="332"/>
              <w:jc w:val="center"/>
              <w:rPr>
                <w:rFonts w:ascii="Times New Roman"/>
                <w:sz w:val="16"/>
              </w:rPr>
            </w:pPr>
            <w:r>
              <w:rPr>
                <w:rFonts w:ascii="Times New Roman"/>
                <w:color w:val="231F20"/>
                <w:w w:val="105"/>
                <w:sz w:val="16"/>
              </w:rPr>
              <w:t>40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13</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Flin Flon-Snow Lake, Manitoba</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150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35</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North Qilian, China</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100</w:t>
            </w:r>
          </w:p>
        </w:tc>
      </w:tr>
      <w:tr>
        <w:trPr>
          <w:trHeight w:val="208" w:hRule="atLeast"/>
        </w:trPr>
        <w:tc>
          <w:tcPr>
            <w:tcW w:w="498" w:type="dxa"/>
          </w:tcPr>
          <w:p>
            <w:pPr>
              <w:pStyle w:val="TableParagraph"/>
              <w:spacing w:line="177" w:lineRule="exact" w:before="11"/>
              <w:ind w:left="94" w:right="30"/>
              <w:jc w:val="center"/>
              <w:rPr>
                <w:rFonts w:ascii="Times New Roman"/>
                <w:sz w:val="16"/>
              </w:rPr>
            </w:pPr>
            <w:r>
              <w:rPr>
                <w:rFonts w:ascii="Times New Roman"/>
                <w:color w:val="231F20"/>
                <w:w w:val="105"/>
                <w:sz w:val="16"/>
              </w:rPr>
              <w:t>14</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Geco, Manitouwadge, Ontario</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60</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36</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Sanjiang, China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50</w:t>
            </w:r>
          </w:p>
        </w:tc>
      </w:tr>
      <w:tr>
        <w:trPr>
          <w:trHeight w:val="208" w:hRule="atLeast"/>
        </w:trPr>
        <w:tc>
          <w:tcPr>
            <w:tcW w:w="498" w:type="dxa"/>
          </w:tcPr>
          <w:p>
            <w:pPr>
              <w:pStyle w:val="TableParagraph"/>
              <w:spacing w:line="177" w:lineRule="exact" w:before="11"/>
              <w:ind w:left="94" w:right="30"/>
              <w:jc w:val="center"/>
              <w:rPr>
                <w:rFonts w:ascii="Times New Roman"/>
                <w:sz w:val="16"/>
              </w:rPr>
            </w:pPr>
            <w:r>
              <w:rPr>
                <w:rFonts w:ascii="Times New Roman"/>
                <w:color w:val="231F20"/>
                <w:w w:val="105"/>
                <w:sz w:val="16"/>
              </w:rPr>
              <w:t>15</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Sturgeon Lake, Ontario</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35</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37</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Bawdwin-Laochang, Burma /</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40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16</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Ladysmith-Rhinelander, Wisconsin/Michigan</w:t>
            </w:r>
          </w:p>
        </w:tc>
        <w:tc>
          <w:tcPr>
            <w:tcW w:w="1160" w:type="dxa"/>
            <w:tcBorders>
              <w:right w:val="single" w:sz="8" w:space="0" w:color="231F20"/>
            </w:tcBorders>
          </w:tcPr>
          <w:p>
            <w:pPr>
              <w:pStyle w:val="TableParagraph"/>
              <w:spacing w:line="177" w:lineRule="exact" w:before="11"/>
              <w:ind w:left="83" w:right="31"/>
              <w:jc w:val="center"/>
              <w:rPr>
                <w:rFonts w:ascii="Times New Roman"/>
                <w:sz w:val="16"/>
              </w:rPr>
            </w:pPr>
            <w:r>
              <w:rPr>
                <w:rFonts w:ascii="Times New Roman"/>
                <w:color w:val="231F20"/>
                <w:w w:val="105"/>
                <w:sz w:val="16"/>
              </w:rPr>
              <w:t>80</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38</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Hokuroku, Japan</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80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17</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Abitibi, Ontario-Quebec</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600</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39</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Besshi, Japan</w:t>
            </w:r>
          </w:p>
        </w:tc>
        <w:tc>
          <w:tcPr>
            <w:tcW w:w="1340" w:type="dxa"/>
          </w:tcPr>
          <w:p>
            <w:pPr>
              <w:pStyle w:val="TableParagraph"/>
              <w:spacing w:line="177" w:lineRule="exact" w:before="11"/>
              <w:ind w:left="713" w:right="333"/>
              <w:jc w:val="center"/>
              <w:rPr>
                <w:rFonts w:ascii="Times New Roman"/>
                <w:sz w:val="16"/>
              </w:rPr>
            </w:pPr>
            <w:r>
              <w:rPr>
                <w:rFonts w:ascii="Times New Roman"/>
                <w:color w:val="231F20"/>
                <w:w w:val="105"/>
                <w:sz w:val="16"/>
              </w:rPr>
              <w:t>230</w:t>
            </w:r>
          </w:p>
        </w:tc>
      </w:tr>
      <w:tr>
        <w:trPr>
          <w:trHeight w:val="208" w:hRule="atLeast"/>
        </w:trPr>
        <w:tc>
          <w:tcPr>
            <w:tcW w:w="498" w:type="dxa"/>
          </w:tcPr>
          <w:p>
            <w:pPr>
              <w:pStyle w:val="TableParagraph"/>
              <w:spacing w:line="177" w:lineRule="exact" w:before="11"/>
              <w:ind w:left="94" w:right="30"/>
              <w:jc w:val="center"/>
              <w:rPr>
                <w:rFonts w:ascii="Times New Roman"/>
                <w:sz w:val="16"/>
              </w:rPr>
            </w:pPr>
            <w:r>
              <w:rPr>
                <w:rFonts w:ascii="Times New Roman"/>
                <w:color w:val="231F20"/>
                <w:w w:val="105"/>
                <w:sz w:val="16"/>
              </w:rPr>
              <w:t>18</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Bathurst, New Brunswick</w:t>
            </w:r>
          </w:p>
        </w:tc>
        <w:tc>
          <w:tcPr>
            <w:tcW w:w="1160" w:type="dxa"/>
            <w:tcBorders>
              <w:right w:val="single" w:sz="8" w:space="0" w:color="231F20"/>
            </w:tcBorders>
          </w:tcPr>
          <w:p>
            <w:pPr>
              <w:pStyle w:val="TableParagraph"/>
              <w:spacing w:line="177" w:lineRule="exact" w:before="11"/>
              <w:ind w:left="83" w:right="33"/>
              <w:jc w:val="center"/>
              <w:rPr>
                <w:rFonts w:ascii="Times New Roman"/>
                <w:sz w:val="16"/>
              </w:rPr>
            </w:pPr>
            <w:r>
              <w:rPr>
                <w:rFonts w:ascii="Times New Roman"/>
                <w:color w:val="231F20"/>
                <w:w w:val="105"/>
                <w:sz w:val="16"/>
              </w:rPr>
              <w:t>495</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40</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Phillipines arc</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65</w:t>
            </w:r>
          </w:p>
        </w:tc>
      </w:tr>
      <w:tr>
        <w:trPr>
          <w:trHeight w:val="208" w:hRule="atLeast"/>
        </w:trPr>
        <w:tc>
          <w:tcPr>
            <w:tcW w:w="498" w:type="dxa"/>
          </w:tcPr>
          <w:p>
            <w:pPr>
              <w:pStyle w:val="TableParagraph"/>
              <w:spacing w:line="177" w:lineRule="exact" w:before="11"/>
              <w:ind w:left="94" w:right="30"/>
              <w:jc w:val="center"/>
              <w:rPr>
                <w:rFonts w:ascii="Times New Roman"/>
                <w:sz w:val="16"/>
              </w:rPr>
            </w:pPr>
            <w:r>
              <w:rPr>
                <w:rFonts w:ascii="Times New Roman"/>
                <w:color w:val="231F20"/>
                <w:w w:val="105"/>
                <w:sz w:val="16"/>
              </w:rPr>
              <w:t>19</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Dunnage Zone, Newfoundland</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75</w:t>
            </w:r>
          </w:p>
        </w:tc>
        <w:tc>
          <w:tcPr>
            <w:tcW w:w="593" w:type="dxa"/>
            <w:tcBorders>
              <w:left w:val="single" w:sz="8" w:space="0" w:color="231F20"/>
            </w:tcBorders>
          </w:tcPr>
          <w:p>
            <w:pPr>
              <w:pStyle w:val="TableParagraph"/>
              <w:spacing w:line="177" w:lineRule="exact" w:before="11"/>
              <w:ind w:left="135" w:right="16"/>
              <w:jc w:val="center"/>
              <w:rPr>
                <w:rFonts w:ascii="Times New Roman"/>
                <w:sz w:val="16"/>
              </w:rPr>
            </w:pPr>
            <w:r>
              <w:rPr>
                <w:rFonts w:ascii="Times New Roman"/>
                <w:color w:val="231F20"/>
                <w:w w:val="105"/>
                <w:sz w:val="16"/>
              </w:rPr>
              <w:t>41-42</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Pilbara, Yilgarn Western Australia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75</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20</w:t>
            </w:r>
          </w:p>
        </w:tc>
        <w:tc>
          <w:tcPr>
            <w:tcW w:w="3347" w:type="dxa"/>
          </w:tcPr>
          <w:p>
            <w:pPr>
              <w:pStyle w:val="TableParagraph"/>
              <w:spacing w:line="177" w:lineRule="exact" w:before="11"/>
              <w:ind w:left="69"/>
              <w:rPr>
                <w:rFonts w:ascii="Times New Roman"/>
                <w:sz w:val="16"/>
              </w:rPr>
            </w:pPr>
            <w:r>
              <w:rPr>
                <w:rFonts w:ascii="Times New Roman"/>
                <w:color w:val="231F20"/>
                <w:w w:val="105"/>
                <w:sz w:val="16"/>
              </w:rPr>
              <w:t>Iberian Pyrite Belt, Spain &amp; Portugal</w:t>
            </w:r>
          </w:p>
        </w:tc>
        <w:tc>
          <w:tcPr>
            <w:tcW w:w="1160" w:type="dxa"/>
            <w:tcBorders>
              <w:right w:val="single" w:sz="8" w:space="0" w:color="231F20"/>
            </w:tcBorders>
          </w:tcPr>
          <w:p>
            <w:pPr>
              <w:pStyle w:val="TableParagraph"/>
              <w:spacing w:line="177" w:lineRule="exact" w:before="11"/>
              <w:ind w:left="83" w:right="32"/>
              <w:jc w:val="center"/>
              <w:rPr>
                <w:rFonts w:ascii="Times New Roman"/>
                <w:sz w:val="16"/>
              </w:rPr>
            </w:pPr>
            <w:r>
              <w:rPr>
                <w:rFonts w:ascii="Times New Roman"/>
                <w:color w:val="231F20"/>
                <w:w w:val="105"/>
                <w:sz w:val="16"/>
              </w:rPr>
              <w:t>1575</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43</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Central Queensland, Australia</w:t>
            </w:r>
          </w:p>
        </w:tc>
        <w:tc>
          <w:tcPr>
            <w:tcW w:w="1340" w:type="dxa"/>
          </w:tcPr>
          <w:p>
            <w:pPr>
              <w:pStyle w:val="TableParagraph"/>
              <w:spacing w:line="177" w:lineRule="exact" w:before="11"/>
              <w:ind w:left="714" w:right="332"/>
              <w:jc w:val="center"/>
              <w:rPr>
                <w:rFonts w:ascii="Times New Roman"/>
                <w:sz w:val="16"/>
              </w:rPr>
            </w:pPr>
            <w:r>
              <w:rPr>
                <w:rFonts w:ascii="Times New Roman"/>
                <w:color w:val="231F20"/>
                <w:w w:val="105"/>
                <w:sz w:val="16"/>
              </w:rPr>
              <w:t>80</w:t>
            </w:r>
          </w:p>
        </w:tc>
      </w:tr>
      <w:tr>
        <w:trPr>
          <w:trHeight w:val="208" w:hRule="atLeast"/>
        </w:trPr>
        <w:tc>
          <w:tcPr>
            <w:tcW w:w="498" w:type="dxa"/>
          </w:tcPr>
          <w:p>
            <w:pPr>
              <w:pStyle w:val="TableParagraph"/>
              <w:spacing w:line="177" w:lineRule="exact" w:before="11"/>
              <w:ind w:left="95" w:right="30"/>
              <w:jc w:val="center"/>
              <w:rPr>
                <w:rFonts w:ascii="Times New Roman"/>
                <w:sz w:val="16"/>
              </w:rPr>
            </w:pPr>
            <w:r>
              <w:rPr>
                <w:rFonts w:ascii="Times New Roman"/>
                <w:color w:val="231F20"/>
                <w:w w:val="105"/>
                <w:sz w:val="16"/>
              </w:rPr>
              <w:t>21</w:t>
            </w:r>
          </w:p>
        </w:tc>
        <w:tc>
          <w:tcPr>
            <w:tcW w:w="3347" w:type="dxa"/>
          </w:tcPr>
          <w:p>
            <w:pPr>
              <w:pStyle w:val="TableParagraph"/>
              <w:spacing w:line="177" w:lineRule="exact" w:before="11"/>
              <w:ind w:left="70"/>
              <w:rPr>
                <w:rFonts w:ascii="Times New Roman"/>
                <w:sz w:val="16"/>
              </w:rPr>
            </w:pPr>
            <w:r>
              <w:rPr>
                <w:rFonts w:ascii="Times New Roman"/>
                <w:color w:val="231F20"/>
                <w:w w:val="105"/>
                <w:sz w:val="16"/>
              </w:rPr>
              <w:t>Avoca, Ireland</w:t>
            </w:r>
          </w:p>
        </w:tc>
        <w:tc>
          <w:tcPr>
            <w:tcW w:w="1160" w:type="dxa"/>
            <w:tcBorders>
              <w:right w:val="single" w:sz="8" w:space="0" w:color="231F20"/>
            </w:tcBorders>
          </w:tcPr>
          <w:p>
            <w:pPr>
              <w:pStyle w:val="TableParagraph"/>
              <w:spacing w:line="177" w:lineRule="exact" w:before="11"/>
              <w:ind w:left="83" w:right="31"/>
              <w:jc w:val="center"/>
              <w:rPr>
                <w:rFonts w:ascii="Times New Roman"/>
                <w:sz w:val="16"/>
              </w:rPr>
            </w:pPr>
            <w:r>
              <w:rPr>
                <w:rFonts w:ascii="Times New Roman"/>
                <w:color w:val="231F20"/>
                <w:w w:val="105"/>
                <w:sz w:val="16"/>
              </w:rPr>
              <w:t>37</w:t>
            </w:r>
          </w:p>
        </w:tc>
        <w:tc>
          <w:tcPr>
            <w:tcW w:w="593" w:type="dxa"/>
            <w:tcBorders>
              <w:left w:val="single" w:sz="8" w:space="0" w:color="231F20"/>
            </w:tcBorders>
          </w:tcPr>
          <w:p>
            <w:pPr>
              <w:pStyle w:val="TableParagraph"/>
              <w:spacing w:line="177" w:lineRule="exact" w:before="11"/>
              <w:ind w:left="135" w:right="15"/>
              <w:jc w:val="center"/>
              <w:rPr>
                <w:rFonts w:ascii="Times New Roman"/>
                <w:sz w:val="16"/>
              </w:rPr>
            </w:pPr>
            <w:r>
              <w:rPr>
                <w:rFonts w:ascii="Times New Roman"/>
                <w:color w:val="231F20"/>
                <w:w w:val="105"/>
                <w:sz w:val="16"/>
              </w:rPr>
              <w:t>44</w:t>
            </w:r>
          </w:p>
        </w:tc>
        <w:tc>
          <w:tcPr>
            <w:tcW w:w="3072" w:type="dxa"/>
          </w:tcPr>
          <w:p>
            <w:pPr>
              <w:pStyle w:val="TableParagraph"/>
              <w:spacing w:line="177" w:lineRule="exact" w:before="11"/>
              <w:ind w:left="54"/>
              <w:rPr>
                <w:rFonts w:ascii="Times New Roman"/>
                <w:sz w:val="16"/>
              </w:rPr>
            </w:pPr>
            <w:r>
              <w:rPr>
                <w:rFonts w:ascii="Times New Roman"/>
                <w:color w:val="231F20"/>
                <w:w w:val="105"/>
                <w:sz w:val="16"/>
              </w:rPr>
              <w:t>Lachlan Fold Belt, Australia</w:t>
            </w:r>
          </w:p>
        </w:tc>
        <w:tc>
          <w:tcPr>
            <w:tcW w:w="1340" w:type="dxa"/>
          </w:tcPr>
          <w:p>
            <w:pPr>
              <w:pStyle w:val="TableParagraph"/>
              <w:spacing w:line="177" w:lineRule="exact" w:before="11"/>
              <w:ind w:left="714" w:right="333"/>
              <w:jc w:val="center"/>
              <w:rPr>
                <w:rFonts w:ascii="Times New Roman"/>
                <w:sz w:val="16"/>
              </w:rPr>
            </w:pPr>
            <w:r>
              <w:rPr>
                <w:rFonts w:ascii="Times New Roman"/>
                <w:color w:val="231F20"/>
                <w:w w:val="105"/>
                <w:sz w:val="16"/>
              </w:rPr>
              <w:t>100</w:t>
            </w:r>
          </w:p>
        </w:tc>
      </w:tr>
      <w:tr>
        <w:trPr>
          <w:trHeight w:val="206" w:hRule="atLeast"/>
        </w:trPr>
        <w:tc>
          <w:tcPr>
            <w:tcW w:w="498" w:type="dxa"/>
          </w:tcPr>
          <w:p>
            <w:pPr>
              <w:pStyle w:val="TableParagraph"/>
              <w:spacing w:line="175" w:lineRule="exact" w:before="11"/>
              <w:ind w:left="95" w:right="30"/>
              <w:jc w:val="center"/>
              <w:rPr>
                <w:rFonts w:ascii="Times New Roman"/>
                <w:sz w:val="16"/>
              </w:rPr>
            </w:pPr>
            <w:r>
              <w:rPr>
                <w:rFonts w:ascii="Times New Roman"/>
                <w:color w:val="231F20"/>
                <w:w w:val="105"/>
                <w:sz w:val="16"/>
              </w:rPr>
              <w:t>22</w:t>
            </w:r>
          </w:p>
        </w:tc>
        <w:tc>
          <w:tcPr>
            <w:tcW w:w="3347" w:type="dxa"/>
          </w:tcPr>
          <w:p>
            <w:pPr>
              <w:pStyle w:val="TableParagraph"/>
              <w:spacing w:line="175" w:lineRule="exact" w:before="11"/>
              <w:ind w:left="70"/>
              <w:rPr>
                <w:rFonts w:ascii="Times New Roman"/>
                <w:sz w:val="16"/>
              </w:rPr>
            </w:pPr>
            <w:r>
              <w:rPr>
                <w:rFonts w:ascii="Times New Roman"/>
                <w:color w:val="231F20"/>
                <w:w w:val="105"/>
                <w:sz w:val="16"/>
              </w:rPr>
              <w:t>Trondhjeim, Norway</w:t>
            </w:r>
          </w:p>
        </w:tc>
        <w:tc>
          <w:tcPr>
            <w:tcW w:w="1160" w:type="dxa"/>
            <w:tcBorders>
              <w:right w:val="single" w:sz="8" w:space="0" w:color="231F20"/>
            </w:tcBorders>
          </w:tcPr>
          <w:p>
            <w:pPr>
              <w:pStyle w:val="TableParagraph"/>
              <w:spacing w:line="175" w:lineRule="exact" w:before="11"/>
              <w:ind w:left="83" w:right="32"/>
              <w:jc w:val="center"/>
              <w:rPr>
                <w:rFonts w:ascii="Times New Roman"/>
                <w:sz w:val="16"/>
              </w:rPr>
            </w:pPr>
            <w:r>
              <w:rPr>
                <w:rFonts w:ascii="Times New Roman"/>
                <w:color w:val="231F20"/>
                <w:w w:val="105"/>
                <w:sz w:val="16"/>
              </w:rPr>
              <w:t>100</w:t>
            </w:r>
          </w:p>
        </w:tc>
        <w:tc>
          <w:tcPr>
            <w:tcW w:w="593" w:type="dxa"/>
            <w:tcBorders>
              <w:left w:val="single" w:sz="8" w:space="0" w:color="231F20"/>
            </w:tcBorders>
          </w:tcPr>
          <w:p>
            <w:pPr>
              <w:pStyle w:val="TableParagraph"/>
              <w:spacing w:line="175" w:lineRule="exact" w:before="11"/>
              <w:ind w:left="135" w:right="15"/>
              <w:jc w:val="center"/>
              <w:rPr>
                <w:rFonts w:ascii="Times New Roman"/>
                <w:sz w:val="16"/>
              </w:rPr>
            </w:pPr>
            <w:r>
              <w:rPr>
                <w:rFonts w:ascii="Times New Roman"/>
                <w:color w:val="231F20"/>
                <w:w w:val="105"/>
                <w:sz w:val="16"/>
              </w:rPr>
              <w:t>45</w:t>
            </w:r>
          </w:p>
        </w:tc>
        <w:tc>
          <w:tcPr>
            <w:tcW w:w="3072" w:type="dxa"/>
          </w:tcPr>
          <w:p>
            <w:pPr>
              <w:pStyle w:val="TableParagraph"/>
              <w:spacing w:line="175" w:lineRule="exact" w:before="11"/>
              <w:ind w:left="54"/>
              <w:rPr>
                <w:rFonts w:ascii="Times New Roman"/>
                <w:sz w:val="16"/>
              </w:rPr>
            </w:pPr>
            <w:r>
              <w:rPr>
                <w:rFonts w:ascii="Times New Roman"/>
                <w:color w:val="231F20"/>
                <w:w w:val="105"/>
                <w:sz w:val="16"/>
              </w:rPr>
              <w:t>Mt. Read, Tasmania</w:t>
            </w:r>
          </w:p>
        </w:tc>
        <w:tc>
          <w:tcPr>
            <w:tcW w:w="1340" w:type="dxa"/>
          </w:tcPr>
          <w:p>
            <w:pPr>
              <w:pStyle w:val="TableParagraph"/>
              <w:spacing w:line="175" w:lineRule="exact" w:before="11"/>
              <w:ind w:left="714" w:right="333"/>
              <w:jc w:val="center"/>
              <w:rPr>
                <w:rFonts w:ascii="Times New Roman"/>
                <w:sz w:val="16"/>
              </w:rPr>
            </w:pPr>
            <w:r>
              <w:rPr>
                <w:rFonts w:ascii="Times New Roman"/>
                <w:color w:val="231F20"/>
                <w:w w:val="105"/>
                <w:sz w:val="16"/>
              </w:rPr>
              <w:t>200</w:t>
            </w:r>
          </w:p>
        </w:tc>
      </w:tr>
      <w:tr>
        <w:trPr>
          <w:trHeight w:val="196" w:hRule="atLeast"/>
        </w:trPr>
        <w:tc>
          <w:tcPr>
            <w:tcW w:w="498" w:type="dxa"/>
            <w:tcBorders>
              <w:bottom w:val="single" w:sz="8" w:space="0" w:color="231F20"/>
            </w:tcBorders>
          </w:tcPr>
          <w:p>
            <w:pPr>
              <w:pStyle w:val="TableParagraph"/>
              <w:spacing w:line="240" w:lineRule="auto" w:before="0"/>
              <w:rPr>
                <w:rFonts w:ascii="Times New Roman"/>
                <w:sz w:val="12"/>
              </w:rPr>
            </w:pPr>
          </w:p>
        </w:tc>
        <w:tc>
          <w:tcPr>
            <w:tcW w:w="3347" w:type="dxa"/>
            <w:tcBorders>
              <w:bottom w:val="single" w:sz="8" w:space="0" w:color="231F20"/>
            </w:tcBorders>
          </w:tcPr>
          <w:p>
            <w:pPr>
              <w:pStyle w:val="TableParagraph"/>
              <w:spacing w:line="240" w:lineRule="auto" w:before="0"/>
              <w:rPr>
                <w:rFonts w:ascii="Times New Roman"/>
                <w:sz w:val="12"/>
              </w:rPr>
            </w:pPr>
          </w:p>
        </w:tc>
        <w:tc>
          <w:tcPr>
            <w:tcW w:w="1160" w:type="dxa"/>
            <w:tcBorders>
              <w:bottom w:val="single" w:sz="8" w:space="0" w:color="231F20"/>
              <w:right w:val="single" w:sz="8" w:space="0" w:color="231F20"/>
            </w:tcBorders>
          </w:tcPr>
          <w:p>
            <w:pPr>
              <w:pStyle w:val="TableParagraph"/>
              <w:spacing w:line="240" w:lineRule="auto" w:before="0"/>
              <w:rPr>
                <w:rFonts w:ascii="Times New Roman"/>
                <w:sz w:val="12"/>
              </w:rPr>
            </w:pPr>
          </w:p>
        </w:tc>
        <w:tc>
          <w:tcPr>
            <w:tcW w:w="593" w:type="dxa"/>
            <w:tcBorders>
              <w:left w:val="single" w:sz="8" w:space="0" w:color="231F20"/>
              <w:bottom w:val="single" w:sz="8" w:space="0" w:color="231F20"/>
            </w:tcBorders>
          </w:tcPr>
          <w:p>
            <w:pPr>
              <w:pStyle w:val="TableParagraph"/>
              <w:spacing w:line="168" w:lineRule="exact" w:before="9"/>
              <w:ind w:left="135" w:right="15"/>
              <w:jc w:val="center"/>
              <w:rPr>
                <w:rFonts w:ascii="Times New Roman"/>
                <w:sz w:val="16"/>
              </w:rPr>
            </w:pPr>
            <w:r>
              <w:rPr>
                <w:rFonts w:ascii="Times New Roman"/>
                <w:color w:val="231F20"/>
                <w:w w:val="105"/>
                <w:sz w:val="16"/>
              </w:rPr>
              <w:t>46</w:t>
            </w:r>
          </w:p>
        </w:tc>
        <w:tc>
          <w:tcPr>
            <w:tcW w:w="3072" w:type="dxa"/>
            <w:tcBorders>
              <w:bottom w:val="single" w:sz="8" w:space="0" w:color="231F20"/>
            </w:tcBorders>
          </w:tcPr>
          <w:p>
            <w:pPr>
              <w:pStyle w:val="TableParagraph"/>
              <w:spacing w:line="168" w:lineRule="exact" w:before="9"/>
              <w:ind w:left="54"/>
              <w:rPr>
                <w:rFonts w:ascii="Times New Roman"/>
                <w:sz w:val="16"/>
              </w:rPr>
            </w:pPr>
            <w:r>
              <w:rPr>
                <w:rFonts w:ascii="Times New Roman"/>
                <w:color w:val="231F20"/>
                <w:w w:val="105"/>
                <w:sz w:val="16"/>
              </w:rPr>
              <w:t>Sino-Korean Platform</w:t>
            </w:r>
          </w:p>
        </w:tc>
        <w:tc>
          <w:tcPr>
            <w:tcW w:w="1340" w:type="dxa"/>
            <w:tcBorders>
              <w:bottom w:val="single" w:sz="8" w:space="0" w:color="231F20"/>
            </w:tcBorders>
          </w:tcPr>
          <w:p>
            <w:pPr>
              <w:pStyle w:val="TableParagraph"/>
              <w:spacing w:line="168" w:lineRule="exact" w:before="9"/>
              <w:ind w:left="714" w:right="333"/>
              <w:jc w:val="center"/>
              <w:rPr>
                <w:rFonts w:ascii="Times New Roman"/>
                <w:sz w:val="16"/>
              </w:rPr>
            </w:pPr>
            <w:r>
              <w:rPr>
                <w:rFonts w:ascii="Times New Roman"/>
                <w:color w:val="231F20"/>
                <w:w w:val="105"/>
                <w:sz w:val="16"/>
              </w:rPr>
              <w:t>40</w:t>
            </w:r>
          </w:p>
        </w:tc>
      </w:tr>
    </w:tbl>
    <w:p>
      <w:pPr>
        <w:spacing w:before="35"/>
        <w:ind w:left="1110" w:right="0" w:firstLine="0"/>
        <w:jc w:val="left"/>
        <w:rPr>
          <w:sz w:val="16"/>
        </w:rPr>
      </w:pPr>
      <w:r>
        <w:rPr>
          <w:color w:val="231F20"/>
          <w:w w:val="105"/>
          <w:sz w:val="16"/>
        </w:rPr>
        <w:t>* numbers refer to Figure 5; tonnage is approximate</w:t>
      </w:r>
    </w:p>
    <w:p>
      <w:pPr>
        <w:spacing w:after="0"/>
        <w:jc w:val="left"/>
        <w:rPr>
          <w:sz w:val="16"/>
        </w:rPr>
        <w:sectPr>
          <w:type w:val="continuous"/>
          <w:pgSz w:w="12240" w:h="15840"/>
          <w:pgMar w:top="920" w:bottom="280" w:left="0" w:right="0"/>
        </w:sectPr>
      </w:pPr>
    </w:p>
    <w:p>
      <w:pPr>
        <w:pStyle w:val="BodyText"/>
      </w:pPr>
      <w:r>
        <w:rPr/>
        <w:pict>
          <v:shape style="position:absolute;margin-left:101.763097pt;margin-top:179.101443pt;width:19.75pt;height:6.85pt;mso-position-horizontal-relative:page;mso-position-vertical-relative:page;z-index:3376;rotation:312" type="#_x0000_t136" fillcolor="#231f20" stroked="f">
            <o:extrusion v:ext="view" autorotationcenter="t"/>
            <v:textpath style="font-family:&amp;quot;Microsoft Sans Serif&amp;quot;;font-size:6pt;v-text-kern:t;mso-text-shadow:auto" string="U.S.A."/>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before="0"/>
        <w:ind w:left="1100" w:right="0" w:firstLine="0"/>
        <w:jc w:val="left"/>
        <w:rPr>
          <w:sz w:val="16"/>
        </w:rPr>
      </w:pPr>
      <w:r>
        <w:rPr/>
        <w:pict>
          <v:shape style="position:absolute;margin-left:353.466278pt;margin-top:-97.137032pt;width:11.75pt;height:6.1pt;mso-position-horizontal-relative:page;mso-position-vertical-relative:paragraph;z-index:-181264" type="#_x0000_t202" filled="false" stroked="false">
            <v:textbox inset="0,0,0,0">
              <w:txbxContent>
                <w:p>
                  <w:pPr>
                    <w:spacing w:line="119" w:lineRule="exact" w:before="0"/>
                    <w:ind w:left="0" w:right="0" w:firstLine="0"/>
                    <w:jc w:val="left"/>
                    <w:rPr>
                      <w:rFonts w:ascii="Microsoft Sans Serif"/>
                      <w:sz w:val="12"/>
                    </w:rPr>
                  </w:pPr>
                  <w:r>
                    <w:rPr>
                      <w:rFonts w:ascii="Microsoft Sans Serif"/>
                      <w:color w:val="231F20"/>
                      <w:sz w:val="12"/>
                    </w:rPr>
                    <w:t>D, E</w:t>
                  </w:r>
                </w:p>
              </w:txbxContent>
            </v:textbox>
            <w10:wrap type="none"/>
          </v:shape>
        </w:pict>
      </w:r>
      <w:r>
        <w:rPr/>
        <w:pict>
          <v:group style="position:absolute;margin-left:70.794014pt;margin-top:-397.143158pt;width:472.55pt;height:392.25pt;mso-position-horizontal-relative:page;mso-position-vertical-relative:paragraph;z-index:3328" coordorigin="1416,-7943" coordsize="9451,7845">
            <v:shape style="position:absolute;left:1500;top:-7943;width:9366;height:7845" type="#_x0000_t75" stroked="false">
              <v:imagedata r:id="rId129" o:title=""/>
            </v:shape>
            <v:rect style="position:absolute;left:8488;top:-6266;width:316;height:188" filled="true" fillcolor="#fffcd5" stroked="false">
              <v:fill type="solid"/>
            </v:rect>
            <v:rect style="position:absolute;left:8488;top:-6266;width:316;height:188" filled="false" stroked="true" strokeweight=".946pt" strokecolor="#231f20">
              <v:stroke dashstyle="solid"/>
            </v:rect>
            <v:shape style="position:absolute;left:8930;top:-7839;width:1891;height:1803" type="#_x0000_t202" filled="false" stroked="false">
              <v:textbox inset="0,0,0,0">
                <w:txbxContent>
                  <w:p>
                    <w:pPr>
                      <w:spacing w:line="352" w:lineRule="auto" w:before="0"/>
                      <w:ind w:left="0" w:right="0" w:firstLine="0"/>
                      <w:jc w:val="left"/>
                      <w:rPr>
                        <w:rFonts w:ascii="Arial"/>
                        <w:sz w:val="16"/>
                      </w:rPr>
                    </w:pPr>
                    <w:r>
                      <w:rPr>
                        <w:rFonts w:ascii="Arial"/>
                        <w:color w:val="231F20"/>
                        <w:w w:val="95"/>
                        <w:sz w:val="16"/>
                      </w:rPr>
                      <w:t>Phanerozoic cover rocks </w:t>
                    </w:r>
                    <w:r>
                      <w:rPr>
                        <w:rFonts w:ascii="Arial"/>
                        <w:color w:val="231F20"/>
                        <w:sz w:val="16"/>
                      </w:rPr>
                      <w:t>Mesozoic orogen</w:t>
                    </w:r>
                  </w:p>
                  <w:p>
                    <w:pPr>
                      <w:spacing w:before="0"/>
                      <w:ind w:left="0" w:right="0" w:firstLine="0"/>
                      <w:jc w:val="left"/>
                      <w:rPr>
                        <w:rFonts w:ascii="Arial"/>
                        <w:sz w:val="16"/>
                      </w:rPr>
                    </w:pPr>
                    <w:r>
                      <w:rPr>
                        <w:rFonts w:ascii="Arial"/>
                        <w:color w:val="231F20"/>
                        <w:w w:val="95"/>
                        <w:sz w:val="16"/>
                      </w:rPr>
                      <w:t>Paleozoic orogen</w:t>
                    </w:r>
                  </w:p>
                  <w:p>
                    <w:pPr>
                      <w:spacing w:before="81"/>
                      <w:ind w:left="0" w:right="0" w:firstLine="0"/>
                      <w:jc w:val="left"/>
                      <w:rPr>
                        <w:rFonts w:ascii="Arial"/>
                        <w:sz w:val="16"/>
                      </w:rPr>
                    </w:pPr>
                    <w:r>
                      <w:rPr>
                        <w:rFonts w:ascii="Arial"/>
                        <w:color w:val="231F20"/>
                        <w:sz w:val="16"/>
                      </w:rPr>
                      <w:t>Proterozoic cover rocks</w:t>
                    </w:r>
                  </w:p>
                  <w:p>
                    <w:pPr>
                      <w:spacing w:line="270" w:lineRule="atLeast" w:before="1"/>
                      <w:ind w:left="0" w:right="0" w:firstLine="0"/>
                      <w:jc w:val="left"/>
                      <w:rPr>
                        <w:rFonts w:ascii="Arial"/>
                        <w:sz w:val="16"/>
                      </w:rPr>
                    </w:pPr>
                    <w:r>
                      <w:rPr>
                        <w:rFonts w:ascii="Arial"/>
                        <w:color w:val="231F20"/>
                        <w:w w:val="95"/>
                        <w:sz w:val="16"/>
                      </w:rPr>
                      <w:t>Middle Proterozoic orogen </w:t>
                    </w:r>
                    <w:r>
                      <w:rPr>
                        <w:rFonts w:ascii="Arial"/>
                        <w:color w:val="231F20"/>
                        <w:sz w:val="16"/>
                      </w:rPr>
                      <w:t>Early Proterozoic orogen Archean craton</w:t>
                    </w:r>
                  </w:p>
                </w:txbxContent>
              </v:textbox>
              <w10:wrap type="none"/>
            </v:shape>
            <v:shape style="position:absolute;left:2465;top:-5325;width:267;height:318"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262</w:t>
                    </w:r>
                  </w:p>
                  <w:p>
                    <w:pPr>
                      <w:spacing w:line="240" w:lineRule="auto" w:before="11"/>
                      <w:rPr>
                        <w:sz w:val="8"/>
                      </w:rPr>
                    </w:pPr>
                  </w:p>
                  <w:p>
                    <w:pPr>
                      <w:spacing w:before="0"/>
                      <w:ind w:left="76" w:right="0" w:firstLine="0"/>
                      <w:jc w:val="left"/>
                      <w:rPr>
                        <w:rFonts w:ascii="Microsoft Sans Serif"/>
                        <w:sz w:val="10"/>
                      </w:rPr>
                    </w:pPr>
                    <w:r>
                      <w:rPr>
                        <w:rFonts w:ascii="Microsoft Sans Serif"/>
                        <w:color w:val="231F20"/>
                        <w:sz w:val="10"/>
                      </w:rPr>
                      <w:t>261</w:t>
                    </w:r>
                  </w:p>
                </w:txbxContent>
              </v:textbox>
              <w10:wrap type="none"/>
            </v:shape>
            <v:shape style="position:absolute;left:1554;top:-4737;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263</w:t>
                    </w:r>
                  </w:p>
                </w:txbxContent>
              </v:textbox>
              <w10:wrap type="none"/>
            </v:shape>
            <v:shape style="position:absolute;left:2464;top:-4777;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258</w:t>
                    </w:r>
                  </w:p>
                </w:txbxContent>
              </v:textbox>
              <w10:wrap type="none"/>
            </v:shape>
            <v:shape style="position:absolute;left:3860;top:-4814;width:388;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233,235</w:t>
                    </w:r>
                  </w:p>
                </w:txbxContent>
              </v:textbox>
              <w10:wrap type="none"/>
            </v:shape>
            <v:shape style="position:absolute;left:4063;top:-4620;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234</w:t>
                    </w:r>
                  </w:p>
                </w:txbxContent>
              </v:textbox>
              <w10:wrap type="none"/>
            </v:shape>
            <v:shape style="position:absolute;left:4314;top:-4893;width:822;height:534" type="#_x0000_t202" filled="false" stroked="false">
              <v:textbox inset="0,0,0,0">
                <w:txbxContent>
                  <w:p>
                    <w:pPr>
                      <w:spacing w:line="100" w:lineRule="exact" w:before="0"/>
                      <w:ind w:left="105" w:right="0" w:firstLine="0"/>
                      <w:jc w:val="left"/>
                      <w:rPr>
                        <w:rFonts w:ascii="Microsoft Sans Serif"/>
                        <w:sz w:val="10"/>
                      </w:rPr>
                    </w:pPr>
                    <w:r>
                      <w:rPr>
                        <w:rFonts w:ascii="Microsoft Sans Serif"/>
                        <w:color w:val="231F20"/>
                        <w:sz w:val="10"/>
                      </w:rPr>
                      <w:t>227</w:t>
                    </w:r>
                  </w:p>
                  <w:p>
                    <w:pPr>
                      <w:spacing w:line="93" w:lineRule="exact" w:before="70"/>
                      <w:ind w:left="0" w:right="0" w:firstLine="0"/>
                      <w:jc w:val="left"/>
                      <w:rPr>
                        <w:rFonts w:ascii="Microsoft Sans Serif"/>
                        <w:sz w:val="10"/>
                      </w:rPr>
                    </w:pPr>
                    <w:r>
                      <w:rPr>
                        <w:rFonts w:ascii="Microsoft Sans Serif"/>
                        <w:color w:val="231F20"/>
                        <w:sz w:val="10"/>
                      </w:rPr>
                      <w:t>230</w:t>
                    </w:r>
                  </w:p>
                  <w:p>
                    <w:pPr>
                      <w:spacing w:line="76" w:lineRule="exact" w:before="0"/>
                      <w:ind w:left="428" w:right="0" w:firstLine="0"/>
                      <w:jc w:val="left"/>
                      <w:rPr>
                        <w:rFonts w:ascii="Microsoft Sans Serif"/>
                        <w:sz w:val="10"/>
                      </w:rPr>
                    </w:pPr>
                    <w:r>
                      <w:rPr>
                        <w:rFonts w:ascii="Microsoft Sans Serif"/>
                        <w:color w:val="231F20"/>
                        <w:sz w:val="10"/>
                      </w:rPr>
                      <w:t>224-226</w:t>
                    </w:r>
                  </w:p>
                  <w:p>
                    <w:pPr>
                      <w:spacing w:line="88" w:lineRule="exact" w:before="0"/>
                      <w:ind w:left="72" w:right="0" w:firstLine="0"/>
                      <w:jc w:val="left"/>
                      <w:rPr>
                        <w:rFonts w:ascii="Microsoft Sans Serif"/>
                        <w:sz w:val="10"/>
                      </w:rPr>
                    </w:pPr>
                    <w:r>
                      <w:rPr>
                        <w:rFonts w:ascii="Microsoft Sans Serif"/>
                        <w:color w:val="231F20"/>
                        <w:sz w:val="10"/>
                      </w:rPr>
                      <w:t>223</w:t>
                    </w:r>
                  </w:p>
                  <w:p>
                    <w:pPr>
                      <w:spacing w:line="105" w:lineRule="exact" w:before="0"/>
                      <w:ind w:left="189" w:right="0" w:firstLine="0"/>
                      <w:jc w:val="left"/>
                      <w:rPr>
                        <w:rFonts w:ascii="Microsoft Sans Serif"/>
                        <w:sz w:val="10"/>
                      </w:rPr>
                    </w:pPr>
                    <w:r>
                      <w:rPr>
                        <w:rFonts w:ascii="Microsoft Sans Serif"/>
                        <w:color w:val="231F20"/>
                        <w:sz w:val="10"/>
                      </w:rPr>
                      <w:t>222</w:t>
                    </w:r>
                  </w:p>
                </w:txbxContent>
              </v:textbox>
              <w10:wrap type="none"/>
            </v:shape>
            <v:shape style="position:absolute;left:2015;top:-4359;width:209;height:229" type="#_x0000_t202" filled="false" stroked="false">
              <v:textbox inset="0,0,0,0">
                <w:txbxContent>
                  <w:p>
                    <w:pPr>
                      <w:spacing w:line="100" w:lineRule="exact" w:before="0"/>
                      <w:ind w:left="19" w:right="0" w:firstLine="0"/>
                      <w:jc w:val="left"/>
                      <w:rPr>
                        <w:rFonts w:ascii="Microsoft Sans Serif"/>
                        <w:sz w:val="10"/>
                      </w:rPr>
                    </w:pPr>
                    <w:r>
                      <w:rPr>
                        <w:rFonts w:ascii="Microsoft Sans Serif"/>
                        <w:color w:val="231F20"/>
                        <w:sz w:val="10"/>
                      </w:rPr>
                      <w:t>259</w:t>
                    </w:r>
                  </w:p>
                  <w:p>
                    <w:pPr>
                      <w:spacing w:before="14"/>
                      <w:ind w:left="0" w:right="0" w:firstLine="0"/>
                      <w:jc w:val="left"/>
                      <w:rPr>
                        <w:rFonts w:ascii="Microsoft Sans Serif"/>
                        <w:sz w:val="10"/>
                      </w:rPr>
                    </w:pPr>
                    <w:r>
                      <w:rPr>
                        <w:rFonts w:ascii="Microsoft Sans Serif"/>
                        <w:color w:val="231F20"/>
                        <w:sz w:val="10"/>
                      </w:rPr>
                      <w:t>260</w:t>
                    </w:r>
                  </w:p>
                </w:txbxContent>
              </v:textbox>
              <w10:wrap type="none"/>
            </v:shape>
            <v:shape style="position:absolute;left:2437;top:-4320;width:2161;height:524" type="#_x0000_t202" filled="false" stroked="false">
              <v:textbox inset="0,0,0,0">
                <w:txbxContent>
                  <w:p>
                    <w:pPr>
                      <w:spacing w:line="77" w:lineRule="exact" w:before="0"/>
                      <w:ind w:left="0" w:right="494" w:firstLine="0"/>
                      <w:jc w:val="right"/>
                      <w:rPr>
                        <w:rFonts w:ascii="Microsoft Sans Serif"/>
                        <w:sz w:val="10"/>
                      </w:rPr>
                    </w:pPr>
                    <w:r>
                      <w:rPr>
                        <w:rFonts w:ascii="Microsoft Sans Serif"/>
                        <w:color w:val="231F20"/>
                        <w:sz w:val="10"/>
                      </w:rPr>
                      <w:t>231,</w:t>
                    </w:r>
                  </w:p>
                  <w:p>
                    <w:pPr>
                      <w:spacing w:line="180" w:lineRule="auto" w:before="0"/>
                      <w:ind w:left="0" w:right="18" w:firstLine="0"/>
                      <w:jc w:val="right"/>
                      <w:rPr>
                        <w:rFonts w:ascii="Microsoft Sans Serif"/>
                        <w:sz w:val="10"/>
                      </w:rPr>
                    </w:pPr>
                    <w:r>
                      <w:rPr>
                        <w:rFonts w:ascii="Microsoft Sans Serif"/>
                        <w:color w:val="231F20"/>
                        <w:position w:val="-4"/>
                        <w:sz w:val="10"/>
                      </w:rPr>
                      <w:t>232 </w:t>
                    </w:r>
                    <w:r>
                      <w:rPr>
                        <w:rFonts w:ascii="Microsoft Sans Serif"/>
                        <w:color w:val="231F20"/>
                        <w:sz w:val="10"/>
                      </w:rPr>
                      <w:t>228,229</w:t>
                    </w:r>
                  </w:p>
                  <w:p>
                    <w:pPr>
                      <w:spacing w:line="240" w:lineRule="auto" w:before="10"/>
                      <w:rPr>
                        <w:sz w:val="16"/>
                      </w:rPr>
                    </w:pPr>
                  </w:p>
                  <w:p>
                    <w:pPr>
                      <w:spacing w:before="0"/>
                      <w:ind w:left="0" w:right="0" w:firstLine="0"/>
                      <w:jc w:val="left"/>
                      <w:rPr>
                        <w:rFonts w:ascii="Microsoft Sans Serif"/>
                        <w:sz w:val="10"/>
                      </w:rPr>
                    </w:pPr>
                    <w:r>
                      <w:rPr>
                        <w:rFonts w:ascii="Microsoft Sans Serif"/>
                        <w:color w:val="231F20"/>
                        <w:sz w:val="10"/>
                      </w:rPr>
                      <w:t>249</w:t>
                    </w:r>
                  </w:p>
                </w:txbxContent>
              </v:textbox>
              <w10:wrap type="none"/>
            </v:shape>
            <v:shape style="position:absolute;left:2040;top:-3817;width:3619;height:378" type="#_x0000_t202" filled="false" stroked="false">
              <v:textbox inset="0,0,0,0">
                <w:txbxContent>
                  <w:p>
                    <w:pPr>
                      <w:spacing w:line="100" w:lineRule="exact" w:before="0"/>
                      <w:ind w:left="50" w:right="0" w:firstLine="0"/>
                      <w:jc w:val="left"/>
                      <w:rPr>
                        <w:rFonts w:ascii="Microsoft Sans Serif"/>
                        <w:sz w:val="10"/>
                      </w:rPr>
                    </w:pPr>
                    <w:r>
                      <w:rPr>
                        <w:rFonts w:ascii="Microsoft Sans Serif"/>
                        <w:color w:val="231F20"/>
                        <w:sz w:val="10"/>
                      </w:rPr>
                      <w:t>257</w:t>
                    </w:r>
                  </w:p>
                  <w:p>
                    <w:pPr>
                      <w:tabs>
                        <w:tab w:pos="3429" w:val="left" w:leader="none"/>
                      </w:tabs>
                      <w:spacing w:before="14"/>
                      <w:ind w:left="21" w:right="0" w:firstLine="0"/>
                      <w:jc w:val="left"/>
                      <w:rPr>
                        <w:rFonts w:ascii="Microsoft Sans Serif"/>
                        <w:sz w:val="10"/>
                      </w:rPr>
                    </w:pPr>
                    <w:r>
                      <w:rPr>
                        <w:rFonts w:ascii="Microsoft Sans Serif"/>
                        <w:color w:val="231F20"/>
                        <w:sz w:val="10"/>
                      </w:rPr>
                      <w:t>256</w:t>
                      <w:tab/>
                      <w:t>169</w:t>
                    </w:r>
                  </w:p>
                  <w:p>
                    <w:pPr>
                      <w:spacing w:before="36"/>
                      <w:ind w:left="0" w:right="0" w:firstLine="0"/>
                      <w:jc w:val="left"/>
                      <w:rPr>
                        <w:rFonts w:ascii="Microsoft Sans Serif"/>
                        <w:sz w:val="10"/>
                      </w:rPr>
                    </w:pPr>
                    <w:r>
                      <w:rPr>
                        <w:rFonts w:ascii="Microsoft Sans Serif"/>
                        <w:color w:val="231F20"/>
                        <w:sz w:val="10"/>
                      </w:rPr>
                      <w:t>251-255</w:t>
                    </w:r>
                  </w:p>
                </w:txbxContent>
              </v:textbox>
              <w10:wrap type="none"/>
            </v:shape>
            <v:shape style="position:absolute;left:7881;top:-3638;width:402;height:275" type="#_x0000_t202" filled="false" stroked="false">
              <v:textbox inset="0,0,0,0">
                <w:txbxContent>
                  <w:p>
                    <w:pPr>
                      <w:spacing w:line="97" w:lineRule="exact" w:before="0"/>
                      <w:ind w:left="176" w:right="65" w:firstLine="0"/>
                      <w:jc w:val="center"/>
                      <w:rPr>
                        <w:rFonts w:ascii="Microsoft Sans Serif"/>
                        <w:sz w:val="10"/>
                      </w:rPr>
                    </w:pPr>
                    <w:r>
                      <w:rPr>
                        <w:rFonts w:ascii="Microsoft Sans Serif"/>
                        <w:color w:val="231F20"/>
                        <w:sz w:val="10"/>
                      </w:rPr>
                      <w:t>58</w:t>
                    </w:r>
                  </w:p>
                  <w:p>
                    <w:pPr>
                      <w:spacing w:line="232" w:lineRule="auto" w:before="0"/>
                      <w:ind w:left="47" w:right="65" w:firstLine="0"/>
                      <w:jc w:val="center"/>
                      <w:rPr>
                        <w:rFonts w:ascii="Microsoft Sans Serif"/>
                        <w:sz w:val="10"/>
                      </w:rPr>
                    </w:pPr>
                    <w:r>
                      <w:rPr>
                        <w:rFonts w:ascii="Microsoft Sans Serif"/>
                        <w:color w:val="231F20"/>
                        <w:sz w:val="10"/>
                      </w:rPr>
                      <w:t>59 </w:t>
                    </w:r>
                    <w:r>
                      <w:rPr>
                        <w:rFonts w:ascii="Microsoft Sans Serif"/>
                        <w:color w:val="231F20"/>
                        <w:position w:val="-5"/>
                        <w:sz w:val="10"/>
                      </w:rPr>
                      <w:t>57</w:t>
                    </w:r>
                  </w:p>
                </w:txbxContent>
              </v:textbox>
              <w10:wrap type="none"/>
            </v:shape>
            <v:shape style="position:absolute;left:1914;top:-3325;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250</w:t>
                    </w:r>
                  </w:p>
                </w:txbxContent>
              </v:textbox>
              <w10:wrap type="none"/>
            </v:shape>
            <v:shape style="position:absolute;left:8624;top:-3260;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50</w:t>
                    </w:r>
                  </w:p>
                </w:txbxContent>
              </v:textbox>
              <w10:wrap type="none"/>
            </v:shape>
            <v:shape style="position:absolute;left:10627;top:-3047;width:224;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1-27</w:t>
                    </w:r>
                  </w:p>
                </w:txbxContent>
              </v:textbox>
              <w10:wrap type="none"/>
            </v:shape>
            <v:shape style="position:absolute;left:4486;top:-2922;width:311;height:234" type="#_x0000_t202" filled="false" stroked="false">
              <v:textbox inset="0,0,0,0">
                <w:txbxContent>
                  <w:p>
                    <w:pPr>
                      <w:spacing w:line="100" w:lineRule="exact" w:before="0"/>
                      <w:ind w:left="120" w:right="0" w:firstLine="0"/>
                      <w:jc w:val="left"/>
                      <w:rPr>
                        <w:rFonts w:ascii="Microsoft Sans Serif"/>
                        <w:sz w:val="10"/>
                      </w:rPr>
                    </w:pPr>
                    <w:r>
                      <w:rPr>
                        <w:rFonts w:ascii="Microsoft Sans Serif"/>
                        <w:color w:val="231F20"/>
                        <w:sz w:val="10"/>
                      </w:rPr>
                      <w:t>211</w:t>
                    </w:r>
                  </w:p>
                  <w:p>
                    <w:pPr>
                      <w:spacing w:before="18"/>
                      <w:ind w:left="0" w:right="0" w:firstLine="0"/>
                      <w:jc w:val="left"/>
                      <w:rPr>
                        <w:rFonts w:ascii="Microsoft Sans Serif"/>
                        <w:sz w:val="10"/>
                      </w:rPr>
                    </w:pPr>
                    <w:r>
                      <w:rPr>
                        <w:rFonts w:ascii="Microsoft Sans Serif"/>
                        <w:color w:val="231F20"/>
                        <w:sz w:val="10"/>
                      </w:rPr>
                      <w:t>221</w:t>
                    </w:r>
                  </w:p>
                </w:txbxContent>
              </v:textbox>
              <w10:wrap type="none"/>
            </v:shape>
            <v:shape style="position:absolute;left:4942;top:-3011;width:390;height:229" type="#_x0000_t202" filled="false" stroked="false">
              <v:textbox inset="0,0,0,0">
                <w:txbxContent>
                  <w:p>
                    <w:pPr>
                      <w:spacing w:line="100" w:lineRule="exact" w:before="0"/>
                      <w:ind w:left="0" w:right="18" w:firstLine="0"/>
                      <w:jc w:val="center"/>
                      <w:rPr>
                        <w:rFonts w:ascii="Microsoft Sans Serif"/>
                        <w:sz w:val="10"/>
                      </w:rPr>
                    </w:pPr>
                    <w:r>
                      <w:rPr>
                        <w:rFonts w:ascii="Microsoft Sans Serif"/>
                        <w:color w:val="231F20"/>
                        <w:sz w:val="10"/>
                      </w:rPr>
                      <w:t>194,195</w:t>
                    </w:r>
                  </w:p>
                  <w:p>
                    <w:pPr>
                      <w:spacing w:before="14"/>
                      <w:ind w:left="110" w:right="18" w:firstLine="0"/>
                      <w:jc w:val="center"/>
                      <w:rPr>
                        <w:rFonts w:ascii="Microsoft Sans Serif"/>
                        <w:sz w:val="10"/>
                      </w:rPr>
                    </w:pPr>
                    <w:r>
                      <w:rPr>
                        <w:rFonts w:ascii="Microsoft Sans Serif"/>
                        <w:color w:val="231F20"/>
                        <w:sz w:val="10"/>
                      </w:rPr>
                      <w:t>176</w:t>
                    </w:r>
                  </w:p>
                </w:txbxContent>
              </v:textbox>
              <w10:wrap type="none"/>
            </v:shape>
            <v:shape style="position:absolute;left:4879;top:-2791;width:472;height:138" type="#_x0000_t202" filled="false" stroked="false">
              <v:textbox inset="0,0,0,0">
                <w:txbxContent>
                  <w:p>
                    <w:pPr>
                      <w:spacing w:line="204" w:lineRule="auto" w:before="0"/>
                      <w:ind w:left="0" w:right="0" w:firstLine="0"/>
                      <w:jc w:val="left"/>
                      <w:rPr>
                        <w:rFonts w:ascii="Microsoft Sans Serif"/>
                        <w:sz w:val="10"/>
                      </w:rPr>
                    </w:pPr>
                    <w:r>
                      <w:rPr>
                        <w:rFonts w:ascii="Microsoft Sans Serif"/>
                        <w:color w:val="231F20"/>
                        <w:position w:val="-3"/>
                        <w:sz w:val="10"/>
                      </w:rPr>
                      <w:t>202 </w:t>
                    </w:r>
                    <w:r>
                      <w:rPr>
                        <w:rFonts w:ascii="Microsoft Sans Serif"/>
                        <w:color w:val="231F20"/>
                        <w:sz w:val="10"/>
                      </w:rPr>
                      <w:t>170</w:t>
                    </w:r>
                  </w:p>
                </w:txbxContent>
              </v:textbox>
              <w10:wrap type="none"/>
            </v:shape>
            <v:shape style="position:absolute;left:4490;top:-2670;width:863;height:156" type="#_x0000_t202" filled="false" stroked="false">
              <v:textbox inset="0,0,0,0">
                <w:txbxContent>
                  <w:p>
                    <w:pPr>
                      <w:spacing w:line="211" w:lineRule="auto" w:before="0"/>
                      <w:ind w:left="0" w:right="0" w:firstLine="0"/>
                      <w:jc w:val="left"/>
                      <w:rPr>
                        <w:rFonts w:ascii="Microsoft Sans Serif"/>
                        <w:sz w:val="10"/>
                      </w:rPr>
                    </w:pPr>
                    <w:r>
                      <w:rPr>
                        <w:rFonts w:ascii="Microsoft Sans Serif"/>
                        <w:color w:val="231F20"/>
                        <w:position w:val="-4"/>
                        <w:sz w:val="10"/>
                      </w:rPr>
                      <w:t>218 </w:t>
                    </w:r>
                    <w:r>
                      <w:rPr>
                        <w:rFonts w:ascii="Microsoft Sans Serif"/>
                        <w:color w:val="231F20"/>
                        <w:sz w:val="10"/>
                      </w:rPr>
                      <w:t>217 196-201</w:t>
                    </w:r>
                  </w:p>
                </w:txbxContent>
              </v:textbox>
              <w10:wrap type="none"/>
            </v:shape>
            <v:shape style="position:absolute;left:5407;top:-2543;width:399;height:122" type="#_x0000_t202" filled="false" stroked="false">
              <v:textbox inset="0,0,0,0">
                <w:txbxContent>
                  <w:p>
                    <w:pPr>
                      <w:spacing w:line="119" w:lineRule="exact" w:before="0"/>
                      <w:ind w:left="0" w:right="0" w:firstLine="0"/>
                      <w:jc w:val="left"/>
                      <w:rPr>
                        <w:rFonts w:ascii="Microsoft Sans Serif"/>
                        <w:sz w:val="12"/>
                      </w:rPr>
                    </w:pPr>
                    <w:r>
                      <w:rPr>
                        <w:rFonts w:ascii="Microsoft Sans Serif"/>
                        <w:color w:val="231F20"/>
                        <w:sz w:val="12"/>
                      </w:rPr>
                      <w:t>Fig. 2F</w:t>
                    </w:r>
                  </w:p>
                </w:txbxContent>
              </v:textbox>
              <w10:wrap type="none"/>
            </v:shape>
            <v:shape style="position:absolute;left:10117;top:-2565;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29</w:t>
                    </w:r>
                  </w:p>
                </w:txbxContent>
              </v:textbox>
              <w10:wrap type="none"/>
            </v:shape>
            <v:shape style="position:absolute;left:2638;top:-2439;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240</w:t>
                    </w:r>
                  </w:p>
                </w:txbxContent>
              </v:textbox>
              <w10:wrap type="none"/>
            </v:shape>
            <v:shape style="position:absolute;left:2172;top:-2365;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243</w:t>
                    </w:r>
                  </w:p>
                </w:txbxContent>
              </v:textbox>
              <w10:wrap type="none"/>
            </v:shape>
            <v:shape style="position:absolute;left:1415;top:-2294;width:546;height:389"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247,248</w:t>
                    </w:r>
                  </w:p>
                  <w:p>
                    <w:pPr>
                      <w:spacing w:line="111" w:lineRule="exact" w:before="64"/>
                      <w:ind w:left="232" w:right="0" w:firstLine="0"/>
                      <w:jc w:val="left"/>
                      <w:rPr>
                        <w:rFonts w:ascii="Microsoft Sans Serif"/>
                        <w:sz w:val="10"/>
                      </w:rPr>
                    </w:pPr>
                    <w:r>
                      <w:rPr>
                        <w:rFonts w:ascii="Microsoft Sans Serif"/>
                        <w:color w:val="231F20"/>
                        <w:sz w:val="10"/>
                      </w:rPr>
                      <w:t>245</w:t>
                    </w:r>
                  </w:p>
                  <w:p>
                    <w:pPr>
                      <w:spacing w:line="111" w:lineRule="exact" w:before="0"/>
                      <w:ind w:left="355" w:right="0" w:firstLine="0"/>
                      <w:jc w:val="left"/>
                      <w:rPr>
                        <w:rFonts w:ascii="Microsoft Sans Serif"/>
                        <w:sz w:val="10"/>
                      </w:rPr>
                    </w:pPr>
                    <w:r>
                      <w:rPr>
                        <w:rFonts w:ascii="Microsoft Sans Serif"/>
                        <w:color w:val="231F20"/>
                        <w:sz w:val="10"/>
                      </w:rPr>
                      <w:t>246</w:t>
                    </w:r>
                  </w:p>
                </w:txbxContent>
              </v:textbox>
              <w10:wrap type="none"/>
            </v:shape>
            <v:shape style="position:absolute;left:2083;top:-2260;width:962;height:399" type="#_x0000_t202" filled="false" stroked="false">
              <v:textbox inset="0,0,0,0">
                <w:txbxContent>
                  <w:p>
                    <w:pPr>
                      <w:spacing w:line="240" w:lineRule="auto" w:before="0"/>
                      <w:ind w:left="88" w:right="0" w:firstLine="0"/>
                      <w:jc w:val="left"/>
                      <w:rPr>
                        <w:rFonts w:ascii="Microsoft Sans Serif"/>
                        <w:sz w:val="10"/>
                      </w:rPr>
                    </w:pPr>
                    <w:r>
                      <w:rPr>
                        <w:rFonts w:ascii="Microsoft Sans Serif"/>
                        <w:color w:val="231F20"/>
                        <w:position w:val="-3"/>
                        <w:sz w:val="10"/>
                      </w:rPr>
                      <w:t>242 </w:t>
                    </w:r>
                    <w:r>
                      <w:rPr>
                        <w:rFonts w:ascii="Microsoft Sans Serif"/>
                        <w:color w:val="231F20"/>
                        <w:sz w:val="10"/>
                      </w:rPr>
                      <w:t>237-239 </w:t>
                    </w:r>
                    <w:r>
                      <w:rPr>
                        <w:rFonts w:ascii="Microsoft Sans Serif"/>
                        <w:color w:val="231F20"/>
                        <w:position w:val="3"/>
                        <w:sz w:val="10"/>
                      </w:rPr>
                      <w:t>236</w:t>
                    </w:r>
                  </w:p>
                  <w:p>
                    <w:pPr>
                      <w:spacing w:line="109" w:lineRule="exact" w:before="0"/>
                      <w:ind w:left="217" w:right="0" w:firstLine="0"/>
                      <w:jc w:val="left"/>
                      <w:rPr>
                        <w:rFonts w:ascii="Microsoft Sans Serif"/>
                        <w:sz w:val="10"/>
                      </w:rPr>
                    </w:pPr>
                    <w:r>
                      <w:rPr>
                        <w:rFonts w:ascii="Microsoft Sans Serif"/>
                        <w:color w:val="231F20"/>
                        <w:sz w:val="10"/>
                      </w:rPr>
                      <w:t>241</w:t>
                    </w:r>
                  </w:p>
                  <w:p>
                    <w:pPr>
                      <w:spacing w:line="109" w:lineRule="exact" w:before="0"/>
                      <w:ind w:left="0" w:right="0" w:firstLine="0"/>
                      <w:jc w:val="left"/>
                      <w:rPr>
                        <w:rFonts w:ascii="Microsoft Sans Serif"/>
                        <w:sz w:val="10"/>
                      </w:rPr>
                    </w:pPr>
                    <w:r>
                      <w:rPr>
                        <w:rFonts w:ascii="Microsoft Sans Serif"/>
                        <w:color w:val="231F20"/>
                        <w:sz w:val="10"/>
                      </w:rPr>
                      <w:t>244</w:t>
                    </w:r>
                  </w:p>
                </w:txbxContent>
              </v:textbox>
              <w10:wrap type="none"/>
            </v:shape>
            <v:shape style="position:absolute;left:4385;top:-2466;width:421;height:454" type="#_x0000_t202" filled="false" stroked="false">
              <v:textbox inset="0,0,0,0">
                <w:txbxContent>
                  <w:p>
                    <w:pPr>
                      <w:spacing w:line="100" w:lineRule="exact" w:before="0"/>
                      <w:ind w:left="44" w:right="0" w:firstLine="0"/>
                      <w:jc w:val="left"/>
                      <w:rPr>
                        <w:rFonts w:ascii="Microsoft Sans Serif"/>
                        <w:sz w:val="10"/>
                      </w:rPr>
                    </w:pPr>
                    <w:r>
                      <w:rPr>
                        <w:rFonts w:ascii="Microsoft Sans Serif"/>
                        <w:color w:val="231F20"/>
                        <w:sz w:val="10"/>
                      </w:rPr>
                      <w:t>220</w:t>
                    </w:r>
                  </w:p>
                  <w:p>
                    <w:pPr>
                      <w:spacing w:before="0"/>
                      <w:ind w:left="22" w:right="18" w:firstLine="0"/>
                      <w:jc w:val="center"/>
                      <w:rPr>
                        <w:rFonts w:ascii="Microsoft Sans Serif"/>
                        <w:sz w:val="10"/>
                      </w:rPr>
                    </w:pPr>
                    <w:r>
                      <w:rPr>
                        <w:rFonts w:ascii="Microsoft Sans Serif"/>
                        <w:color w:val="231F20"/>
                        <w:sz w:val="10"/>
                      </w:rPr>
                      <w:t>219</w:t>
                    </w:r>
                  </w:p>
                  <w:p>
                    <w:pPr>
                      <w:spacing w:before="10"/>
                      <w:ind w:left="-1" w:right="18" w:firstLine="0"/>
                      <w:jc w:val="center"/>
                      <w:rPr>
                        <w:rFonts w:ascii="Microsoft Sans Serif"/>
                        <w:sz w:val="10"/>
                      </w:rPr>
                    </w:pPr>
                    <w:r>
                      <w:rPr>
                        <w:rFonts w:ascii="Microsoft Sans Serif"/>
                        <w:color w:val="231F20"/>
                        <w:sz w:val="10"/>
                      </w:rPr>
                      <w:t>203-210,</w:t>
                    </w:r>
                  </w:p>
                  <w:p>
                    <w:pPr>
                      <w:spacing w:before="2"/>
                      <w:ind w:left="0" w:right="17" w:firstLine="0"/>
                      <w:jc w:val="center"/>
                      <w:rPr>
                        <w:rFonts w:ascii="Microsoft Sans Serif"/>
                        <w:sz w:val="10"/>
                      </w:rPr>
                    </w:pPr>
                    <w:r>
                      <w:rPr>
                        <w:rFonts w:ascii="Microsoft Sans Serif"/>
                        <w:color w:val="231F20"/>
                        <w:sz w:val="10"/>
                      </w:rPr>
                      <w:t>212 -216</w:t>
                    </w:r>
                  </w:p>
                </w:txbxContent>
              </v:textbox>
              <w10:wrap type="none"/>
            </v:shape>
            <v:shape style="position:absolute;left:5280;top:-2376;width:421;height:217"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171-175,</w:t>
                    </w:r>
                  </w:p>
                  <w:p>
                    <w:pPr>
                      <w:spacing w:before="2"/>
                      <w:ind w:left="0" w:right="0" w:firstLine="0"/>
                      <w:jc w:val="left"/>
                      <w:rPr>
                        <w:rFonts w:ascii="Microsoft Sans Serif"/>
                        <w:sz w:val="10"/>
                      </w:rPr>
                    </w:pPr>
                    <w:r>
                      <w:rPr>
                        <w:rFonts w:ascii="Microsoft Sans Serif"/>
                        <w:color w:val="231F20"/>
                        <w:sz w:val="10"/>
                      </w:rPr>
                      <w:t>177-193</w:t>
                    </w:r>
                  </w:p>
                </w:txbxContent>
              </v:textbox>
              <w10:wrap type="none"/>
            </v:shape>
            <v:shape style="position:absolute;left:9079;top:-2318;width:595;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32-49, 51-56</w:t>
                    </w:r>
                  </w:p>
                </w:txbxContent>
              </v:textbox>
              <w10:wrap type="none"/>
            </v:shape>
            <v:shape style="position:absolute;left:10187;top:-2366;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28</w:t>
                    </w:r>
                  </w:p>
                </w:txbxContent>
              </v:textbox>
              <w10:wrap type="none"/>
            </v:shape>
            <v:shape style="position:absolute;left:7948;top:-2100;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75</w:t>
                    </w:r>
                  </w:p>
                </w:txbxContent>
              </v:textbox>
              <w10:wrap type="none"/>
            </v:shape>
            <v:shape style="position:absolute;left:6767;top:-1943;width:323;height:122" type="#_x0000_t202" filled="false" stroked="false">
              <v:textbox inset="0,0,0,0">
                <w:txbxContent>
                  <w:p>
                    <w:pPr>
                      <w:spacing w:line="119" w:lineRule="exact" w:before="0"/>
                      <w:ind w:left="0" w:right="0" w:firstLine="0"/>
                      <w:jc w:val="left"/>
                      <w:rPr>
                        <w:rFonts w:ascii="Microsoft Sans Serif"/>
                        <w:sz w:val="12"/>
                      </w:rPr>
                    </w:pPr>
                    <w:r>
                      <w:rPr>
                        <w:rFonts w:ascii="Microsoft Sans Serif"/>
                        <w:color w:val="231F20"/>
                        <w:sz w:val="12"/>
                      </w:rPr>
                      <w:t>Fig. 2</w:t>
                    </w:r>
                  </w:p>
                </w:txbxContent>
              </v:textbox>
              <w10:wrap type="none"/>
            </v:shape>
            <v:shape style="position:absolute;left:7966;top:-1977;width:359;height:143" type="#_x0000_t202" filled="false" stroked="false">
              <v:textbox inset="0,0,0,0">
                <w:txbxContent>
                  <w:p>
                    <w:pPr>
                      <w:spacing w:line="204" w:lineRule="auto" w:before="0"/>
                      <w:ind w:left="0" w:right="0" w:firstLine="0"/>
                      <w:jc w:val="left"/>
                      <w:rPr>
                        <w:rFonts w:ascii="Microsoft Sans Serif"/>
                        <w:sz w:val="10"/>
                      </w:rPr>
                    </w:pPr>
                    <w:r>
                      <w:rPr>
                        <w:rFonts w:ascii="Microsoft Sans Serif"/>
                        <w:color w:val="231F20"/>
                        <w:position w:val="-3"/>
                        <w:sz w:val="10"/>
                      </w:rPr>
                      <w:t>74 </w:t>
                    </w:r>
                    <w:r>
                      <w:rPr>
                        <w:rFonts w:ascii="Microsoft Sans Serif"/>
                        <w:color w:val="231F20"/>
                        <w:sz w:val="10"/>
                      </w:rPr>
                      <w:t>73</w:t>
                    </w:r>
                  </w:p>
                </w:txbxContent>
              </v:textbox>
              <w10:wrap type="none"/>
            </v:shape>
            <v:shape style="position:absolute;left:7863;top:-1851;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76</w:t>
                    </w:r>
                  </w:p>
                </w:txbxContent>
              </v:textbox>
              <w10:wrap type="none"/>
            </v:shape>
            <v:shape style="position:absolute;left:5643;top:-1787;width:583;height:270" type="#_x0000_t202" filled="false" stroked="false">
              <v:textbox inset="0,0,0,0">
                <w:txbxContent>
                  <w:p>
                    <w:pPr>
                      <w:spacing w:line="101" w:lineRule="exact" w:before="0"/>
                      <w:ind w:left="0" w:right="0" w:firstLine="0"/>
                      <w:jc w:val="left"/>
                      <w:rPr>
                        <w:rFonts w:ascii="Microsoft Sans Serif"/>
                        <w:sz w:val="10"/>
                      </w:rPr>
                    </w:pPr>
                    <w:r>
                      <w:rPr>
                        <w:rFonts w:ascii="Microsoft Sans Serif"/>
                        <w:color w:val="231F20"/>
                        <w:sz w:val="10"/>
                      </w:rPr>
                      <w:t>168 165</w:t>
                    </w:r>
                  </w:p>
                  <w:p>
                    <w:pPr>
                      <w:spacing w:before="54"/>
                      <w:ind w:left="168" w:right="0" w:firstLine="0"/>
                      <w:jc w:val="left"/>
                      <w:rPr>
                        <w:rFonts w:ascii="Microsoft Sans Serif"/>
                        <w:sz w:val="10"/>
                      </w:rPr>
                    </w:pPr>
                    <w:r>
                      <w:rPr>
                        <w:rFonts w:ascii="Microsoft Sans Serif"/>
                        <w:color w:val="231F20"/>
                        <w:sz w:val="10"/>
                      </w:rPr>
                      <w:t>166, 167</w:t>
                    </w:r>
                  </w:p>
                </w:txbxContent>
              </v:textbox>
              <w10:wrap type="none"/>
            </v:shape>
            <v:shape style="position:absolute;left:8199;top:-1840;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72</w:t>
                    </w:r>
                  </w:p>
                </w:txbxContent>
              </v:textbox>
              <w10:wrap type="none"/>
            </v:shape>
            <v:shape style="position:absolute;left:10151;top:-1877;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30</w:t>
                    </w:r>
                  </w:p>
                </w:txbxContent>
              </v:textbox>
              <w10:wrap type="none"/>
            </v:shape>
            <v:shape style="position:absolute;left:6519;top:-1712;width:209;height:213" type="#_x0000_t202" filled="false" stroked="false">
              <v:textbox inset="0,0,0,0">
                <w:txbxContent>
                  <w:p>
                    <w:pPr>
                      <w:spacing w:line="99" w:lineRule="exact" w:before="0"/>
                      <w:ind w:left="0" w:right="0" w:firstLine="0"/>
                      <w:jc w:val="left"/>
                      <w:rPr>
                        <w:rFonts w:ascii="Microsoft Sans Serif"/>
                        <w:sz w:val="10"/>
                      </w:rPr>
                    </w:pPr>
                    <w:r>
                      <w:rPr>
                        <w:rFonts w:ascii="Microsoft Sans Serif"/>
                        <w:color w:val="231F20"/>
                        <w:sz w:val="10"/>
                      </w:rPr>
                      <w:t>157</w:t>
                    </w:r>
                  </w:p>
                  <w:p>
                    <w:pPr>
                      <w:spacing w:line="112" w:lineRule="exact" w:before="0"/>
                      <w:ind w:left="19" w:right="0" w:firstLine="0"/>
                      <w:jc w:val="left"/>
                      <w:rPr>
                        <w:rFonts w:ascii="Microsoft Sans Serif"/>
                        <w:sz w:val="10"/>
                      </w:rPr>
                    </w:pPr>
                    <w:r>
                      <w:rPr>
                        <w:rFonts w:ascii="Microsoft Sans Serif"/>
                        <w:color w:val="231F20"/>
                        <w:sz w:val="10"/>
                      </w:rPr>
                      <w:t>158</w:t>
                    </w:r>
                  </w:p>
                </w:txbxContent>
              </v:textbox>
              <w10:wrap type="none"/>
            </v:shape>
            <v:shape style="position:absolute;left:6733;top:-1518;width:811;height:109" type="#_x0000_t202" filled="false" stroked="false">
              <v:textbox inset="0,0,0,0">
                <w:txbxContent>
                  <w:p>
                    <w:pPr>
                      <w:tabs>
                        <w:tab w:pos="621" w:val="left" w:leader="none"/>
                      </w:tabs>
                      <w:spacing w:line="107" w:lineRule="exact" w:before="0"/>
                      <w:ind w:left="0" w:right="0" w:firstLine="0"/>
                      <w:jc w:val="left"/>
                      <w:rPr>
                        <w:rFonts w:ascii="Microsoft Sans Serif"/>
                        <w:sz w:val="10"/>
                      </w:rPr>
                    </w:pPr>
                    <w:r>
                      <w:rPr>
                        <w:rFonts w:ascii="Microsoft Sans Serif"/>
                        <w:color w:val="231F20"/>
                        <w:sz w:val="10"/>
                      </w:rPr>
                      <w:t>151-154</w:t>
                      <w:tab/>
                    </w:r>
                    <w:r>
                      <w:rPr>
                        <w:rFonts w:ascii="Microsoft Sans Serif"/>
                        <w:color w:val="231F20"/>
                        <w:position w:val="1"/>
                        <w:sz w:val="10"/>
                      </w:rPr>
                      <w:t>141</w:t>
                    </w:r>
                  </w:p>
                </w:txbxContent>
              </v:textbox>
              <w10:wrap type="none"/>
            </v:shape>
            <v:shape style="position:absolute;left:7147;top:-1561;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144</w:t>
                    </w:r>
                  </w:p>
                </w:txbxContent>
              </v:textbox>
              <w10:wrap type="none"/>
            </v:shape>
            <v:shape style="position:absolute;left:5778;top:-1410;width:39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160-164</w:t>
                    </w:r>
                  </w:p>
                </w:txbxContent>
              </v:textbox>
              <w10:wrap type="none"/>
            </v:shape>
            <v:shape style="position:absolute;left:6160;top:-1332;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159</w:t>
                    </w:r>
                  </w:p>
                </w:txbxContent>
              </v:textbox>
              <w10:wrap type="none"/>
            </v:shape>
            <v:shape style="position:absolute;left:6523;top:-1363;width:833;height:363" type="#_x0000_t202" filled="false" stroked="false">
              <v:textbox inset="0,0,0,0">
                <w:txbxContent>
                  <w:p>
                    <w:pPr>
                      <w:spacing w:line="84" w:lineRule="exact" w:before="0"/>
                      <w:ind w:left="0" w:right="54" w:firstLine="0"/>
                      <w:jc w:val="right"/>
                      <w:rPr>
                        <w:rFonts w:ascii="Microsoft Sans Serif"/>
                        <w:sz w:val="10"/>
                      </w:rPr>
                    </w:pPr>
                    <w:r>
                      <w:rPr>
                        <w:rFonts w:ascii="Microsoft Sans Serif"/>
                        <w:color w:val="231F20"/>
                        <w:sz w:val="10"/>
                      </w:rPr>
                      <w:t>146-148</w:t>
                    </w:r>
                  </w:p>
                  <w:p>
                    <w:pPr>
                      <w:spacing w:line="87" w:lineRule="exact" w:before="0"/>
                      <w:ind w:left="0" w:right="0" w:firstLine="0"/>
                      <w:jc w:val="left"/>
                      <w:rPr>
                        <w:rFonts w:ascii="Microsoft Sans Serif"/>
                        <w:sz w:val="10"/>
                      </w:rPr>
                    </w:pPr>
                    <w:r>
                      <w:rPr>
                        <w:rFonts w:ascii="Microsoft Sans Serif"/>
                        <w:color w:val="231F20"/>
                        <w:sz w:val="10"/>
                      </w:rPr>
                      <w:t>155, 156</w:t>
                    </w:r>
                  </w:p>
                  <w:p>
                    <w:pPr>
                      <w:spacing w:line="90" w:lineRule="exact" w:before="0"/>
                      <w:ind w:left="491" w:right="0" w:firstLine="0"/>
                      <w:jc w:val="left"/>
                      <w:rPr>
                        <w:rFonts w:ascii="Microsoft Sans Serif"/>
                        <w:sz w:val="10"/>
                      </w:rPr>
                    </w:pPr>
                    <w:r>
                      <w:rPr>
                        <w:rFonts w:ascii="Microsoft Sans Serif"/>
                        <w:color w:val="231F20"/>
                        <w:sz w:val="10"/>
                      </w:rPr>
                      <w:t>150</w:t>
                    </w:r>
                  </w:p>
                  <w:p>
                    <w:pPr>
                      <w:spacing w:line="100" w:lineRule="exact" w:before="0"/>
                      <w:ind w:left="0" w:right="18" w:firstLine="0"/>
                      <w:jc w:val="right"/>
                      <w:rPr>
                        <w:rFonts w:ascii="Microsoft Sans Serif"/>
                        <w:sz w:val="10"/>
                      </w:rPr>
                    </w:pPr>
                    <w:r>
                      <w:rPr>
                        <w:rFonts w:ascii="Microsoft Sans Serif"/>
                        <w:color w:val="231F20"/>
                        <w:sz w:val="10"/>
                      </w:rPr>
                      <w:t>149</w:t>
                    </w:r>
                  </w:p>
                </w:txbxContent>
              </v:textbox>
              <w10:wrap type="none"/>
            </v:shape>
            <v:shape style="position:absolute;left:7903;top:-1719;width:779;height:433" type="#_x0000_t202" filled="false" stroked="false">
              <v:textbox inset="0,0,0,0">
                <w:txbxContent>
                  <w:p>
                    <w:pPr>
                      <w:spacing w:line="88" w:lineRule="exact" w:before="0"/>
                      <w:ind w:left="247" w:right="0" w:firstLine="0"/>
                      <w:jc w:val="left"/>
                      <w:rPr>
                        <w:rFonts w:ascii="Microsoft Sans Serif"/>
                        <w:sz w:val="10"/>
                      </w:rPr>
                    </w:pPr>
                    <w:r>
                      <w:rPr>
                        <w:rFonts w:ascii="Microsoft Sans Serif"/>
                        <w:color w:val="231F20"/>
                        <w:sz w:val="10"/>
                      </w:rPr>
                      <w:t>77-79</w:t>
                    </w:r>
                  </w:p>
                  <w:p>
                    <w:pPr>
                      <w:spacing w:line="109" w:lineRule="exact" w:before="0"/>
                      <w:ind w:left="0" w:right="0" w:firstLine="0"/>
                      <w:jc w:val="left"/>
                      <w:rPr>
                        <w:rFonts w:ascii="Microsoft Sans Serif"/>
                        <w:sz w:val="10"/>
                      </w:rPr>
                    </w:pPr>
                    <w:r>
                      <w:rPr>
                        <w:rFonts w:ascii="Microsoft Sans Serif"/>
                        <w:color w:val="231F20"/>
                        <w:position w:val="1"/>
                        <w:sz w:val="10"/>
                      </w:rPr>
                      <w:t>83    </w:t>
                    </w:r>
                    <w:r>
                      <w:rPr>
                        <w:rFonts w:ascii="Microsoft Sans Serif"/>
                        <w:color w:val="231F20"/>
                        <w:sz w:val="10"/>
                      </w:rPr>
                      <w:t>80, 82</w:t>
                    </w:r>
                  </w:p>
                  <w:p>
                    <w:pPr>
                      <w:spacing w:line="110" w:lineRule="exact" w:before="0"/>
                      <w:ind w:left="477" w:right="0" w:firstLine="0"/>
                      <w:jc w:val="left"/>
                      <w:rPr>
                        <w:rFonts w:ascii="Microsoft Sans Serif"/>
                        <w:sz w:val="10"/>
                      </w:rPr>
                    </w:pPr>
                    <w:r>
                      <w:rPr>
                        <w:rFonts w:ascii="Microsoft Sans Serif"/>
                        <w:color w:val="231F20"/>
                        <w:sz w:val="10"/>
                      </w:rPr>
                      <w:t>70, 71</w:t>
                    </w:r>
                  </w:p>
                  <w:p>
                    <w:pPr>
                      <w:spacing w:before="10"/>
                      <w:ind w:left="21" w:right="0" w:firstLine="0"/>
                      <w:jc w:val="left"/>
                      <w:rPr>
                        <w:rFonts w:ascii="Microsoft Sans Serif"/>
                        <w:sz w:val="10"/>
                      </w:rPr>
                    </w:pPr>
                    <w:r>
                      <w:rPr>
                        <w:rFonts w:ascii="Microsoft Sans Serif"/>
                        <w:color w:val="231F20"/>
                        <w:sz w:val="10"/>
                      </w:rPr>
                      <w:t>84-140</w:t>
                    </w:r>
                  </w:p>
                </w:txbxContent>
              </v:textbox>
              <w10:wrap type="none"/>
            </v:shape>
            <v:shape style="position:absolute;left:9446;top:-1608;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31</w:t>
                    </w:r>
                  </w:p>
                </w:txbxContent>
              </v:textbox>
              <w10:wrap type="none"/>
            </v:shape>
            <v:shape style="position:absolute;left:7450;top:-1209;width:190;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145</w:t>
                    </w:r>
                  </w:p>
                </w:txbxContent>
              </v:textbox>
              <w10:wrap type="none"/>
            </v:shape>
            <v:shape style="position:absolute;left:8070;top:-1109;width:133;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81</w:t>
                    </w:r>
                  </w:p>
                </w:txbxContent>
              </v:textbox>
              <w10:wrap type="none"/>
            </v:shape>
            <v:shape style="position:absolute;left:8859;top:-1521;width:371;height:490" type="#_x0000_t202" filled="false" stroked="false">
              <v:textbox inset="0,0,0,0">
                <w:txbxContent>
                  <w:p>
                    <w:pPr>
                      <w:spacing w:line="100" w:lineRule="exact" w:before="0"/>
                      <w:ind w:left="56" w:right="0" w:firstLine="0"/>
                      <w:jc w:val="left"/>
                      <w:rPr>
                        <w:rFonts w:ascii="Microsoft Sans Serif"/>
                        <w:sz w:val="10"/>
                      </w:rPr>
                    </w:pPr>
                    <w:r>
                      <w:rPr>
                        <w:rFonts w:ascii="Microsoft Sans Serif"/>
                        <w:color w:val="231F20"/>
                        <w:sz w:val="10"/>
                      </w:rPr>
                      <w:t>60</w:t>
                    </w:r>
                  </w:p>
                  <w:p>
                    <w:pPr>
                      <w:spacing w:line="110" w:lineRule="exact" w:before="45"/>
                      <w:ind w:left="90" w:right="0" w:firstLine="0"/>
                      <w:jc w:val="left"/>
                      <w:rPr>
                        <w:rFonts w:ascii="Microsoft Sans Serif"/>
                        <w:sz w:val="10"/>
                      </w:rPr>
                    </w:pPr>
                    <w:r>
                      <w:rPr>
                        <w:rFonts w:ascii="Microsoft Sans Serif"/>
                        <w:color w:val="231F20"/>
                        <w:sz w:val="10"/>
                      </w:rPr>
                      <w:t>62-65</w:t>
                    </w:r>
                  </w:p>
                  <w:p>
                    <w:pPr>
                      <w:spacing w:line="110" w:lineRule="exact" w:before="0"/>
                      <w:ind w:left="69" w:right="0" w:firstLine="0"/>
                      <w:jc w:val="left"/>
                      <w:rPr>
                        <w:rFonts w:ascii="Microsoft Sans Serif"/>
                        <w:sz w:val="10"/>
                      </w:rPr>
                    </w:pPr>
                    <w:r>
                      <w:rPr>
                        <w:rFonts w:ascii="Microsoft Sans Serif"/>
                        <w:color w:val="231F20"/>
                        <w:sz w:val="10"/>
                      </w:rPr>
                      <w:t>61</w:t>
                    </w:r>
                  </w:p>
                  <w:p>
                    <w:pPr>
                      <w:spacing w:before="9"/>
                      <w:ind w:left="0" w:right="0" w:firstLine="0"/>
                      <w:jc w:val="left"/>
                      <w:rPr>
                        <w:rFonts w:ascii="Microsoft Sans Serif"/>
                        <w:sz w:val="10"/>
                      </w:rPr>
                    </w:pPr>
                    <w:r>
                      <w:rPr>
                        <w:rFonts w:ascii="Microsoft Sans Serif"/>
                        <w:color w:val="231F20"/>
                        <w:sz w:val="10"/>
                      </w:rPr>
                      <w:t>66</w:t>
                    </w:r>
                  </w:p>
                </w:txbxContent>
              </v:textbox>
              <w10:wrap type="none"/>
            </v:shape>
            <v:shape style="position:absolute;left:7524;top:-1002;width:415;height:102" type="#_x0000_t202" filled="false" stroked="false">
              <v:textbox inset="0,0,0,0">
                <w:txbxContent>
                  <w:p>
                    <w:pPr>
                      <w:spacing w:line="100" w:lineRule="exact" w:before="0"/>
                      <w:ind w:left="0" w:right="0" w:firstLine="0"/>
                      <w:jc w:val="left"/>
                      <w:rPr>
                        <w:rFonts w:ascii="Microsoft Sans Serif"/>
                        <w:sz w:val="10"/>
                      </w:rPr>
                    </w:pPr>
                    <w:r>
                      <w:rPr>
                        <w:rFonts w:ascii="Microsoft Sans Serif"/>
                        <w:color w:val="231F20"/>
                        <w:sz w:val="10"/>
                      </w:rPr>
                      <w:t>142, 143</w:t>
                    </w:r>
                  </w:p>
                </w:txbxContent>
              </v:textbox>
              <w10:wrap type="none"/>
            </v:shape>
            <v:shape style="position:absolute;left:8552;top:-1009;width:448;height:145" type="#_x0000_t202" filled="false" stroked="false">
              <v:textbox inset="0,0,0,0">
                <w:txbxContent>
                  <w:p>
                    <w:pPr>
                      <w:spacing w:line="142" w:lineRule="exact" w:before="0"/>
                      <w:ind w:left="0" w:right="0" w:firstLine="0"/>
                      <w:jc w:val="left"/>
                      <w:rPr>
                        <w:rFonts w:ascii="Microsoft Sans Serif"/>
                        <w:sz w:val="10"/>
                      </w:rPr>
                    </w:pPr>
                    <w:r>
                      <w:rPr>
                        <w:rFonts w:ascii="Microsoft Sans Serif"/>
                        <w:color w:val="231F20"/>
                        <w:sz w:val="10"/>
                      </w:rPr>
                      <w:t>68, 69 </w:t>
                    </w:r>
                    <w:r>
                      <w:rPr>
                        <w:rFonts w:ascii="Microsoft Sans Serif"/>
                        <w:color w:val="231F20"/>
                        <w:position w:val="4"/>
                        <w:sz w:val="10"/>
                      </w:rPr>
                      <w:t>67</w:t>
                    </w:r>
                  </w:p>
                </w:txbxContent>
              </v:textbox>
              <w10:wrap type="none"/>
            </v:shape>
            <v:shape style="position:absolute;left:3463;top:-629;width:103;height:147" type="#_x0000_t202" filled="false" stroked="false">
              <v:textbox inset="0,0,0,0">
                <w:txbxContent>
                  <w:p>
                    <w:pPr>
                      <w:spacing w:line="143" w:lineRule="exact" w:before="0"/>
                      <w:ind w:left="0" w:right="0" w:firstLine="0"/>
                      <w:jc w:val="left"/>
                      <w:rPr>
                        <w:rFonts w:ascii="Microsoft Sans Serif"/>
                        <w:sz w:val="14"/>
                      </w:rPr>
                    </w:pPr>
                    <w:r>
                      <w:rPr>
                        <w:rFonts w:ascii="Microsoft Sans Serif"/>
                        <w:color w:val="231F20"/>
                        <w:w w:val="105"/>
                        <w:sz w:val="14"/>
                      </w:rPr>
                      <w:t>0</w:t>
                    </w:r>
                  </w:p>
                </w:txbxContent>
              </v:textbox>
              <w10:wrap type="none"/>
            </v:shape>
            <v:shape style="position:absolute;left:4259;top:-740;width:267;height:183" type="#_x0000_t202" filled="false" stroked="false">
              <v:textbox inset="0,0,0,0">
                <w:txbxContent>
                  <w:p>
                    <w:pPr>
                      <w:spacing w:line="180" w:lineRule="exact" w:before="0"/>
                      <w:ind w:left="0" w:right="0" w:firstLine="0"/>
                      <w:jc w:val="left"/>
                      <w:rPr>
                        <w:rFonts w:ascii="Microsoft Sans Serif"/>
                        <w:sz w:val="18"/>
                      </w:rPr>
                    </w:pPr>
                    <w:r>
                      <w:rPr>
                        <w:rFonts w:ascii="Microsoft Sans Serif"/>
                        <w:color w:val="231F20"/>
                        <w:w w:val="105"/>
                        <w:sz w:val="18"/>
                      </w:rPr>
                      <w:t>km</w:t>
                    </w:r>
                  </w:p>
                </w:txbxContent>
              </v:textbox>
              <w10:wrap type="none"/>
            </v:shape>
            <v:shape style="position:absolute;left:5086;top:-629;width:350;height:147" type="#_x0000_t202" filled="false" stroked="false">
              <v:textbox inset="0,0,0,0">
                <w:txbxContent>
                  <w:p>
                    <w:pPr>
                      <w:spacing w:line="143" w:lineRule="exact" w:before="0"/>
                      <w:ind w:left="0" w:right="0" w:firstLine="0"/>
                      <w:jc w:val="left"/>
                      <w:rPr>
                        <w:rFonts w:ascii="Microsoft Sans Serif"/>
                        <w:sz w:val="14"/>
                      </w:rPr>
                    </w:pPr>
                    <w:r>
                      <w:rPr>
                        <w:rFonts w:ascii="Microsoft Sans Serif"/>
                        <w:color w:val="231F20"/>
                        <w:w w:val="105"/>
                        <w:sz w:val="14"/>
                      </w:rPr>
                      <w:t>1000</w:t>
                    </w:r>
                  </w:p>
                </w:txbxContent>
              </v:textbox>
              <w10:wrap type="none"/>
            </v:shape>
            <w10:wrap type="none"/>
          </v:group>
        </w:pict>
      </w:r>
      <w:r>
        <w:rPr/>
        <w:pict>
          <v:shape style="position:absolute;margin-left:203.818344pt;margin-top:-69.194733pt;width:19.850pt;height:6.8pt;mso-position-horizontal-relative:page;mso-position-vertical-relative:paragraph;z-index:3352;rotation:8" type="#_x0000_t136" fillcolor="#231f20" stroked="f">
            <o:extrusion v:ext="view" autorotationcenter="t"/>
            <v:textpath style="font-family:&amp;quot;Microsoft Sans Serif&amp;quot;;font-size:6pt;v-text-kern:t;mso-text-shadow:auto" string="U.S.A."/>
            <w10:wrap type="none"/>
          </v:shape>
        </w:pict>
      </w:r>
      <w:r>
        <w:rPr>
          <w:b/>
          <w:color w:val="231F20"/>
          <w:sz w:val="16"/>
        </w:rPr>
        <w:t>F</w:t>
      </w:r>
      <w:r>
        <w:rPr>
          <w:b/>
          <w:color w:val="231F20"/>
          <w:sz w:val="16"/>
          <w:vertAlign w:val="subscript"/>
        </w:rPr>
        <w:t>IGURE</w:t>
      </w:r>
      <w:r>
        <w:rPr>
          <w:b/>
          <w:color w:val="231F20"/>
          <w:sz w:val="16"/>
          <w:vertAlign w:val="baseline"/>
        </w:rPr>
        <w:t> 6. </w:t>
      </w:r>
      <w:r>
        <w:rPr>
          <w:color w:val="231F20"/>
          <w:sz w:val="16"/>
          <w:vertAlign w:val="baseline"/>
        </w:rPr>
        <w:t>Distribution of VMS deposits in Canada by geologic province. Numbers correspond to deposits listed in the national VMS database (Appendix 1).</w:t>
      </w:r>
    </w:p>
    <w:p>
      <w:pPr>
        <w:pStyle w:val="BodyText"/>
        <w:spacing w:before="3"/>
        <w:rPr>
          <w:sz w:val="22"/>
        </w:rPr>
      </w:pPr>
    </w:p>
    <w:p>
      <w:pPr>
        <w:spacing w:before="0"/>
        <w:ind w:left="1867" w:right="0" w:firstLine="0"/>
        <w:jc w:val="left"/>
        <w:rPr>
          <w:sz w:val="18"/>
        </w:rPr>
      </w:pPr>
      <w:r>
        <w:rPr/>
        <w:pict>
          <v:line style="position:absolute;mso-position-horizontal-relative:page;mso-position-vertical-relative:paragraph;z-index:2056;mso-wrap-distance-left:0;mso-wrap-distance-right:0" from="91.533997pt,16.503139pt" to="520.473997pt,16.503139pt" stroked="true" strokeweight=".72pt" strokecolor="#231f20">
            <v:stroke dashstyle="solid"/>
            <w10:wrap type="topAndBottom"/>
          </v:line>
        </w:pict>
      </w:r>
      <w:r>
        <w:rPr>
          <w:b/>
          <w:color w:val="231F20"/>
          <w:sz w:val="18"/>
        </w:rPr>
        <w:t>T</w:t>
      </w:r>
      <w:r>
        <w:rPr>
          <w:b/>
          <w:color w:val="231F20"/>
          <w:sz w:val="18"/>
          <w:vertAlign w:val="subscript"/>
        </w:rPr>
        <w:t>ABLE</w:t>
      </w:r>
      <w:r>
        <w:rPr>
          <w:b/>
          <w:color w:val="231F20"/>
          <w:sz w:val="18"/>
          <w:vertAlign w:val="baseline"/>
        </w:rPr>
        <w:t> 2. </w:t>
      </w:r>
      <w:r>
        <w:rPr>
          <w:color w:val="231F20"/>
          <w:sz w:val="18"/>
          <w:vertAlign w:val="baseline"/>
        </w:rPr>
        <w:t>Canadian volanogenic massive sulphide deposits presently in production (2005).</w:t>
      </w:r>
    </w:p>
    <w:tbl>
      <w:tblPr>
        <w:tblW w:w="0" w:type="auto"/>
        <w:jc w:val="left"/>
        <w:tblInd w:w="1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2"/>
        <w:gridCol w:w="2252"/>
        <w:gridCol w:w="959"/>
        <w:gridCol w:w="459"/>
        <w:gridCol w:w="491"/>
        <w:gridCol w:w="494"/>
        <w:gridCol w:w="473"/>
        <w:gridCol w:w="438"/>
        <w:gridCol w:w="1203"/>
      </w:tblGrid>
      <w:tr>
        <w:trPr>
          <w:trHeight w:val="174" w:hRule="atLeast"/>
        </w:trPr>
        <w:tc>
          <w:tcPr>
            <w:tcW w:w="1812" w:type="dxa"/>
            <w:tcBorders>
              <w:top w:val="single" w:sz="6" w:space="0" w:color="231F20"/>
            </w:tcBorders>
          </w:tcPr>
          <w:p>
            <w:pPr>
              <w:pStyle w:val="TableParagraph"/>
              <w:spacing w:line="154" w:lineRule="exact" w:before="0"/>
              <w:ind w:left="26"/>
              <w:rPr>
                <w:rFonts w:ascii="Times New Roman"/>
                <w:b/>
                <w:sz w:val="15"/>
              </w:rPr>
            </w:pPr>
            <w:r>
              <w:rPr>
                <w:rFonts w:ascii="Times New Roman"/>
                <w:b/>
                <w:color w:val="231F20"/>
                <w:sz w:val="15"/>
              </w:rPr>
              <w:t>Deposit</w:t>
            </w:r>
          </w:p>
        </w:tc>
        <w:tc>
          <w:tcPr>
            <w:tcW w:w="2252" w:type="dxa"/>
            <w:tcBorders>
              <w:top w:val="single" w:sz="6" w:space="0" w:color="231F20"/>
            </w:tcBorders>
          </w:tcPr>
          <w:p>
            <w:pPr>
              <w:pStyle w:val="TableParagraph"/>
              <w:spacing w:line="154" w:lineRule="exact" w:before="0"/>
              <w:ind w:left="119"/>
              <w:rPr>
                <w:rFonts w:ascii="Times New Roman"/>
                <w:b/>
                <w:sz w:val="15"/>
              </w:rPr>
            </w:pPr>
            <w:r>
              <w:rPr>
                <w:rFonts w:ascii="Times New Roman"/>
                <w:b/>
                <w:color w:val="231F20"/>
                <w:sz w:val="15"/>
              </w:rPr>
              <w:t>Location</w:t>
            </w:r>
          </w:p>
        </w:tc>
        <w:tc>
          <w:tcPr>
            <w:tcW w:w="959" w:type="dxa"/>
            <w:tcBorders>
              <w:top w:val="single" w:sz="6" w:space="0" w:color="231F20"/>
            </w:tcBorders>
          </w:tcPr>
          <w:p>
            <w:pPr>
              <w:pStyle w:val="TableParagraph"/>
              <w:spacing w:line="154" w:lineRule="exact" w:before="0"/>
              <w:ind w:right="87"/>
              <w:jc w:val="right"/>
              <w:rPr>
                <w:rFonts w:ascii="Times New Roman"/>
                <w:b/>
                <w:sz w:val="15"/>
              </w:rPr>
            </w:pPr>
            <w:r>
              <w:rPr>
                <w:rFonts w:ascii="Times New Roman"/>
                <w:b/>
                <w:color w:val="231F20"/>
                <w:sz w:val="15"/>
              </w:rPr>
              <w:t>(1) Mt</w:t>
            </w:r>
          </w:p>
        </w:tc>
        <w:tc>
          <w:tcPr>
            <w:tcW w:w="459" w:type="dxa"/>
            <w:tcBorders>
              <w:top w:val="single" w:sz="6" w:space="0" w:color="231F20"/>
            </w:tcBorders>
          </w:tcPr>
          <w:p>
            <w:pPr>
              <w:pStyle w:val="TableParagraph"/>
              <w:spacing w:line="154" w:lineRule="exact" w:before="0"/>
              <w:ind w:right="65"/>
              <w:jc w:val="right"/>
              <w:rPr>
                <w:rFonts w:ascii="Times New Roman"/>
                <w:b/>
                <w:sz w:val="15"/>
              </w:rPr>
            </w:pPr>
            <w:r>
              <w:rPr>
                <w:rFonts w:ascii="Times New Roman"/>
                <w:b/>
                <w:color w:val="231F20"/>
                <w:sz w:val="15"/>
              </w:rPr>
              <w:t>Cu</w:t>
            </w:r>
          </w:p>
        </w:tc>
        <w:tc>
          <w:tcPr>
            <w:tcW w:w="491" w:type="dxa"/>
            <w:tcBorders>
              <w:top w:val="single" w:sz="6" w:space="0" w:color="231F20"/>
            </w:tcBorders>
          </w:tcPr>
          <w:p>
            <w:pPr>
              <w:pStyle w:val="TableParagraph"/>
              <w:spacing w:line="154" w:lineRule="exact" w:before="0"/>
              <w:ind w:right="78"/>
              <w:jc w:val="right"/>
              <w:rPr>
                <w:rFonts w:ascii="Times New Roman"/>
                <w:b/>
                <w:sz w:val="15"/>
              </w:rPr>
            </w:pPr>
            <w:r>
              <w:rPr>
                <w:rFonts w:ascii="Times New Roman"/>
                <w:b/>
                <w:color w:val="231F20"/>
                <w:w w:val="95"/>
                <w:sz w:val="15"/>
              </w:rPr>
              <w:t>Zn</w:t>
            </w:r>
          </w:p>
        </w:tc>
        <w:tc>
          <w:tcPr>
            <w:tcW w:w="494" w:type="dxa"/>
            <w:tcBorders>
              <w:top w:val="single" w:sz="6" w:space="0" w:color="231F20"/>
            </w:tcBorders>
          </w:tcPr>
          <w:p>
            <w:pPr>
              <w:pStyle w:val="TableParagraph"/>
              <w:spacing w:line="154" w:lineRule="exact" w:before="0"/>
              <w:ind w:right="104"/>
              <w:jc w:val="right"/>
              <w:rPr>
                <w:rFonts w:ascii="Times New Roman"/>
                <w:b/>
                <w:sz w:val="15"/>
              </w:rPr>
            </w:pPr>
            <w:r>
              <w:rPr>
                <w:rFonts w:ascii="Times New Roman"/>
                <w:b/>
                <w:color w:val="231F20"/>
                <w:w w:val="95"/>
                <w:sz w:val="15"/>
              </w:rPr>
              <w:t>Pb</w:t>
            </w:r>
          </w:p>
        </w:tc>
        <w:tc>
          <w:tcPr>
            <w:tcW w:w="473" w:type="dxa"/>
            <w:tcBorders>
              <w:top w:val="single" w:sz="6" w:space="0" w:color="231F20"/>
            </w:tcBorders>
          </w:tcPr>
          <w:p>
            <w:pPr>
              <w:pStyle w:val="TableParagraph"/>
              <w:spacing w:line="154" w:lineRule="exact" w:before="0"/>
              <w:ind w:right="104"/>
              <w:jc w:val="right"/>
              <w:rPr>
                <w:rFonts w:ascii="Times New Roman"/>
                <w:b/>
                <w:sz w:val="15"/>
              </w:rPr>
            </w:pPr>
            <w:r>
              <w:rPr>
                <w:rFonts w:ascii="Times New Roman"/>
                <w:b/>
                <w:color w:val="231F20"/>
                <w:sz w:val="15"/>
              </w:rPr>
              <w:t>Ag</w:t>
            </w:r>
          </w:p>
        </w:tc>
        <w:tc>
          <w:tcPr>
            <w:tcW w:w="438" w:type="dxa"/>
            <w:tcBorders>
              <w:top w:val="single" w:sz="6" w:space="0" w:color="231F20"/>
            </w:tcBorders>
          </w:tcPr>
          <w:p>
            <w:pPr>
              <w:pStyle w:val="TableParagraph"/>
              <w:spacing w:line="154" w:lineRule="exact" w:before="0"/>
              <w:ind w:left="155" w:right="48"/>
              <w:jc w:val="center"/>
              <w:rPr>
                <w:rFonts w:ascii="Times New Roman"/>
                <w:b/>
                <w:sz w:val="15"/>
              </w:rPr>
            </w:pPr>
            <w:r>
              <w:rPr>
                <w:rFonts w:ascii="Times New Roman"/>
                <w:b/>
                <w:color w:val="231F20"/>
                <w:sz w:val="15"/>
              </w:rPr>
              <w:t>Au</w:t>
            </w:r>
          </w:p>
        </w:tc>
        <w:tc>
          <w:tcPr>
            <w:tcW w:w="1203" w:type="dxa"/>
            <w:tcBorders>
              <w:top w:val="single" w:sz="6" w:space="0" w:color="231F20"/>
            </w:tcBorders>
          </w:tcPr>
          <w:p>
            <w:pPr>
              <w:pStyle w:val="TableParagraph"/>
              <w:spacing w:line="154" w:lineRule="exact" w:before="0"/>
              <w:ind w:left="44" w:right="92"/>
              <w:jc w:val="center"/>
              <w:rPr>
                <w:rFonts w:ascii="Times New Roman"/>
                <w:b/>
                <w:sz w:val="15"/>
              </w:rPr>
            </w:pPr>
            <w:r>
              <w:rPr>
                <w:rFonts w:ascii="Times New Roman"/>
                <w:b/>
                <w:color w:val="231F20"/>
                <w:sz w:val="15"/>
              </w:rPr>
              <w:t>Age</w:t>
            </w:r>
          </w:p>
        </w:tc>
      </w:tr>
      <w:tr>
        <w:trPr>
          <w:trHeight w:val="188" w:hRule="atLeast"/>
        </w:trPr>
        <w:tc>
          <w:tcPr>
            <w:tcW w:w="1812" w:type="dxa"/>
            <w:tcBorders>
              <w:bottom w:val="single" w:sz="6" w:space="0" w:color="231F20"/>
            </w:tcBorders>
          </w:tcPr>
          <w:p>
            <w:pPr>
              <w:pStyle w:val="TableParagraph"/>
              <w:spacing w:line="240" w:lineRule="auto" w:before="0"/>
              <w:rPr>
                <w:rFonts w:ascii="Times New Roman"/>
                <w:sz w:val="12"/>
              </w:rPr>
            </w:pPr>
          </w:p>
        </w:tc>
        <w:tc>
          <w:tcPr>
            <w:tcW w:w="2252" w:type="dxa"/>
            <w:tcBorders>
              <w:bottom w:val="single" w:sz="6" w:space="0" w:color="231F20"/>
            </w:tcBorders>
          </w:tcPr>
          <w:p>
            <w:pPr>
              <w:pStyle w:val="TableParagraph"/>
              <w:spacing w:line="240" w:lineRule="auto" w:before="0"/>
              <w:rPr>
                <w:rFonts w:ascii="Times New Roman"/>
                <w:sz w:val="12"/>
              </w:rPr>
            </w:pPr>
          </w:p>
        </w:tc>
        <w:tc>
          <w:tcPr>
            <w:tcW w:w="959" w:type="dxa"/>
            <w:tcBorders>
              <w:bottom w:val="single" w:sz="6" w:space="0" w:color="231F20"/>
            </w:tcBorders>
          </w:tcPr>
          <w:p>
            <w:pPr>
              <w:pStyle w:val="TableParagraph"/>
              <w:spacing w:line="240" w:lineRule="auto" w:before="0"/>
              <w:rPr>
                <w:rFonts w:ascii="Times New Roman"/>
                <w:sz w:val="12"/>
              </w:rPr>
            </w:pPr>
          </w:p>
        </w:tc>
        <w:tc>
          <w:tcPr>
            <w:tcW w:w="459" w:type="dxa"/>
            <w:tcBorders>
              <w:bottom w:val="single" w:sz="6" w:space="0" w:color="231F20"/>
            </w:tcBorders>
          </w:tcPr>
          <w:p>
            <w:pPr>
              <w:pStyle w:val="TableParagraph"/>
              <w:spacing w:line="161" w:lineRule="exact" w:before="7"/>
              <w:ind w:right="62"/>
              <w:jc w:val="right"/>
              <w:rPr>
                <w:rFonts w:ascii="Times New Roman"/>
                <w:sz w:val="15"/>
              </w:rPr>
            </w:pPr>
            <w:r>
              <w:rPr>
                <w:rFonts w:ascii="Times New Roman"/>
                <w:color w:val="231F20"/>
                <w:sz w:val="15"/>
              </w:rPr>
              <w:t>wt.%</w:t>
            </w:r>
          </w:p>
        </w:tc>
        <w:tc>
          <w:tcPr>
            <w:tcW w:w="491" w:type="dxa"/>
            <w:tcBorders>
              <w:bottom w:val="single" w:sz="6" w:space="0" w:color="231F20"/>
            </w:tcBorders>
          </w:tcPr>
          <w:p>
            <w:pPr>
              <w:pStyle w:val="TableParagraph"/>
              <w:spacing w:line="161" w:lineRule="exact" w:before="7"/>
              <w:ind w:right="79"/>
              <w:jc w:val="right"/>
              <w:rPr>
                <w:rFonts w:ascii="Times New Roman"/>
                <w:sz w:val="15"/>
              </w:rPr>
            </w:pPr>
            <w:r>
              <w:rPr>
                <w:rFonts w:ascii="Times New Roman"/>
                <w:color w:val="231F20"/>
                <w:sz w:val="15"/>
              </w:rPr>
              <w:t>wt.%</w:t>
            </w:r>
          </w:p>
        </w:tc>
        <w:tc>
          <w:tcPr>
            <w:tcW w:w="494" w:type="dxa"/>
            <w:tcBorders>
              <w:bottom w:val="single" w:sz="6" w:space="0" w:color="231F20"/>
            </w:tcBorders>
          </w:tcPr>
          <w:p>
            <w:pPr>
              <w:pStyle w:val="TableParagraph"/>
              <w:spacing w:line="161" w:lineRule="exact" w:before="7"/>
              <w:ind w:right="100"/>
              <w:jc w:val="right"/>
              <w:rPr>
                <w:rFonts w:ascii="Times New Roman"/>
                <w:sz w:val="15"/>
              </w:rPr>
            </w:pPr>
            <w:r>
              <w:rPr>
                <w:rFonts w:ascii="Times New Roman"/>
                <w:color w:val="231F20"/>
                <w:sz w:val="15"/>
              </w:rPr>
              <w:t>wt.%</w:t>
            </w:r>
          </w:p>
        </w:tc>
        <w:tc>
          <w:tcPr>
            <w:tcW w:w="473" w:type="dxa"/>
            <w:tcBorders>
              <w:bottom w:val="single" w:sz="6" w:space="0" w:color="231F20"/>
            </w:tcBorders>
          </w:tcPr>
          <w:p>
            <w:pPr>
              <w:pStyle w:val="TableParagraph"/>
              <w:spacing w:line="161" w:lineRule="exact" w:before="7"/>
              <w:ind w:right="102"/>
              <w:jc w:val="right"/>
              <w:rPr>
                <w:rFonts w:ascii="Times New Roman"/>
                <w:sz w:val="15"/>
              </w:rPr>
            </w:pPr>
            <w:r>
              <w:rPr>
                <w:rFonts w:ascii="Times New Roman"/>
                <w:color w:val="231F20"/>
                <w:w w:val="95"/>
                <w:sz w:val="15"/>
              </w:rPr>
              <w:t>g/t</w:t>
            </w:r>
          </w:p>
        </w:tc>
        <w:tc>
          <w:tcPr>
            <w:tcW w:w="438" w:type="dxa"/>
            <w:tcBorders>
              <w:bottom w:val="single" w:sz="6" w:space="0" w:color="231F20"/>
            </w:tcBorders>
          </w:tcPr>
          <w:p>
            <w:pPr>
              <w:pStyle w:val="TableParagraph"/>
              <w:spacing w:line="161" w:lineRule="exact" w:before="7"/>
              <w:ind w:left="156" w:right="14"/>
              <w:jc w:val="center"/>
              <w:rPr>
                <w:rFonts w:ascii="Times New Roman"/>
                <w:sz w:val="15"/>
              </w:rPr>
            </w:pPr>
            <w:r>
              <w:rPr>
                <w:rFonts w:ascii="Times New Roman"/>
                <w:color w:val="231F20"/>
                <w:sz w:val="15"/>
              </w:rPr>
              <w:t>g/t</w:t>
            </w:r>
          </w:p>
        </w:tc>
        <w:tc>
          <w:tcPr>
            <w:tcW w:w="1203" w:type="dxa"/>
            <w:tcBorders>
              <w:bottom w:val="single" w:sz="6" w:space="0" w:color="231F20"/>
            </w:tcBorders>
          </w:tcPr>
          <w:p>
            <w:pPr>
              <w:pStyle w:val="TableParagraph"/>
              <w:spacing w:line="240" w:lineRule="auto" w:before="0"/>
              <w:rPr>
                <w:rFonts w:ascii="Times New Roman"/>
                <w:sz w:val="12"/>
              </w:rPr>
            </w:pPr>
          </w:p>
        </w:tc>
      </w:tr>
      <w:tr>
        <w:trPr>
          <w:trHeight w:val="198" w:hRule="atLeast"/>
        </w:trPr>
        <w:tc>
          <w:tcPr>
            <w:tcW w:w="1812" w:type="dxa"/>
            <w:tcBorders>
              <w:top w:val="single" w:sz="6" w:space="0" w:color="231F20"/>
            </w:tcBorders>
          </w:tcPr>
          <w:p>
            <w:pPr>
              <w:pStyle w:val="TableParagraph"/>
              <w:spacing w:line="240" w:lineRule="auto" w:before="0"/>
              <w:ind w:left="26"/>
              <w:rPr>
                <w:rFonts w:ascii="Times New Roman"/>
                <w:sz w:val="15"/>
              </w:rPr>
            </w:pPr>
            <w:r>
              <w:rPr>
                <w:rFonts w:ascii="Times New Roman"/>
                <w:color w:val="231F20"/>
                <w:sz w:val="15"/>
              </w:rPr>
              <w:t>Brunswick No. 12</w:t>
            </w:r>
          </w:p>
        </w:tc>
        <w:tc>
          <w:tcPr>
            <w:tcW w:w="2252" w:type="dxa"/>
            <w:tcBorders>
              <w:top w:val="single" w:sz="6" w:space="0" w:color="231F20"/>
            </w:tcBorders>
          </w:tcPr>
          <w:p>
            <w:pPr>
              <w:pStyle w:val="TableParagraph"/>
              <w:spacing w:line="240" w:lineRule="auto" w:before="0"/>
              <w:ind w:left="119"/>
              <w:rPr>
                <w:rFonts w:ascii="Times New Roman"/>
                <w:sz w:val="15"/>
              </w:rPr>
            </w:pPr>
            <w:r>
              <w:rPr>
                <w:rFonts w:ascii="Times New Roman"/>
                <w:color w:val="231F20"/>
                <w:sz w:val="15"/>
              </w:rPr>
              <w:t>Bathurst, New Bruswick</w:t>
            </w:r>
          </w:p>
        </w:tc>
        <w:tc>
          <w:tcPr>
            <w:tcW w:w="959" w:type="dxa"/>
            <w:tcBorders>
              <w:top w:val="single" w:sz="6" w:space="0" w:color="231F20"/>
            </w:tcBorders>
          </w:tcPr>
          <w:p>
            <w:pPr>
              <w:pStyle w:val="TableParagraph"/>
              <w:spacing w:line="240" w:lineRule="auto" w:before="0"/>
              <w:ind w:right="84"/>
              <w:jc w:val="right"/>
              <w:rPr>
                <w:rFonts w:ascii="Times New Roman"/>
                <w:sz w:val="15"/>
              </w:rPr>
            </w:pPr>
            <w:r>
              <w:rPr>
                <w:rFonts w:ascii="Times New Roman"/>
                <w:color w:val="231F20"/>
                <w:w w:val="95"/>
                <w:sz w:val="15"/>
              </w:rPr>
              <w:t>229.8</w:t>
            </w:r>
          </w:p>
        </w:tc>
        <w:tc>
          <w:tcPr>
            <w:tcW w:w="459" w:type="dxa"/>
            <w:tcBorders>
              <w:top w:val="single" w:sz="6" w:space="0" w:color="231F20"/>
            </w:tcBorders>
          </w:tcPr>
          <w:p>
            <w:pPr>
              <w:pStyle w:val="TableParagraph"/>
              <w:spacing w:line="240" w:lineRule="auto" w:before="0"/>
              <w:ind w:right="68"/>
              <w:jc w:val="right"/>
              <w:rPr>
                <w:rFonts w:ascii="Times New Roman"/>
                <w:sz w:val="15"/>
              </w:rPr>
            </w:pPr>
            <w:r>
              <w:rPr>
                <w:rFonts w:ascii="Times New Roman"/>
                <w:color w:val="231F20"/>
                <w:w w:val="95"/>
                <w:sz w:val="15"/>
              </w:rPr>
              <w:t>0.46</w:t>
            </w:r>
          </w:p>
        </w:tc>
        <w:tc>
          <w:tcPr>
            <w:tcW w:w="491" w:type="dxa"/>
            <w:tcBorders>
              <w:top w:val="single" w:sz="6" w:space="0" w:color="231F20"/>
            </w:tcBorders>
          </w:tcPr>
          <w:p>
            <w:pPr>
              <w:pStyle w:val="TableParagraph"/>
              <w:spacing w:line="240" w:lineRule="auto" w:before="0"/>
              <w:ind w:right="86"/>
              <w:jc w:val="right"/>
              <w:rPr>
                <w:rFonts w:ascii="Times New Roman"/>
                <w:sz w:val="15"/>
              </w:rPr>
            </w:pPr>
            <w:r>
              <w:rPr>
                <w:rFonts w:ascii="Times New Roman"/>
                <w:color w:val="231F20"/>
                <w:w w:val="95"/>
                <w:sz w:val="15"/>
              </w:rPr>
              <w:t>7.66</w:t>
            </w:r>
          </w:p>
        </w:tc>
        <w:tc>
          <w:tcPr>
            <w:tcW w:w="494" w:type="dxa"/>
            <w:tcBorders>
              <w:top w:val="single" w:sz="6" w:space="0" w:color="231F20"/>
            </w:tcBorders>
          </w:tcPr>
          <w:p>
            <w:pPr>
              <w:pStyle w:val="TableParagraph"/>
              <w:spacing w:line="240" w:lineRule="auto" w:before="0"/>
              <w:ind w:right="107"/>
              <w:jc w:val="right"/>
              <w:rPr>
                <w:rFonts w:ascii="Times New Roman"/>
                <w:sz w:val="15"/>
              </w:rPr>
            </w:pPr>
            <w:r>
              <w:rPr>
                <w:rFonts w:ascii="Times New Roman"/>
                <w:color w:val="231F20"/>
                <w:w w:val="95"/>
                <w:sz w:val="15"/>
              </w:rPr>
              <w:t>3.01</w:t>
            </w:r>
          </w:p>
        </w:tc>
        <w:tc>
          <w:tcPr>
            <w:tcW w:w="473" w:type="dxa"/>
            <w:tcBorders>
              <w:top w:val="single" w:sz="6" w:space="0" w:color="231F20"/>
            </w:tcBorders>
          </w:tcPr>
          <w:p>
            <w:pPr>
              <w:pStyle w:val="TableParagraph"/>
              <w:spacing w:line="240" w:lineRule="auto" w:before="0"/>
              <w:ind w:right="105"/>
              <w:jc w:val="right"/>
              <w:rPr>
                <w:rFonts w:ascii="Times New Roman"/>
                <w:sz w:val="15"/>
              </w:rPr>
            </w:pPr>
            <w:r>
              <w:rPr>
                <w:rFonts w:ascii="Times New Roman"/>
                <w:color w:val="231F20"/>
                <w:w w:val="95"/>
                <w:sz w:val="15"/>
              </w:rPr>
              <w:t>91</w:t>
            </w:r>
          </w:p>
        </w:tc>
        <w:tc>
          <w:tcPr>
            <w:tcW w:w="438" w:type="dxa"/>
            <w:tcBorders>
              <w:top w:val="single" w:sz="6" w:space="0" w:color="231F20"/>
            </w:tcBorders>
          </w:tcPr>
          <w:p>
            <w:pPr>
              <w:pStyle w:val="TableParagraph"/>
              <w:spacing w:line="240" w:lineRule="auto" w:before="0"/>
              <w:ind w:left="78" w:right="48"/>
              <w:jc w:val="center"/>
              <w:rPr>
                <w:rFonts w:ascii="Times New Roman"/>
                <w:sz w:val="15"/>
              </w:rPr>
            </w:pPr>
            <w:r>
              <w:rPr>
                <w:rFonts w:ascii="Times New Roman"/>
                <w:color w:val="231F20"/>
                <w:sz w:val="15"/>
              </w:rPr>
              <w:t>0.46</w:t>
            </w:r>
          </w:p>
        </w:tc>
        <w:tc>
          <w:tcPr>
            <w:tcW w:w="1203" w:type="dxa"/>
            <w:tcBorders>
              <w:top w:val="single" w:sz="6" w:space="0" w:color="231F20"/>
            </w:tcBorders>
          </w:tcPr>
          <w:p>
            <w:pPr>
              <w:pStyle w:val="TableParagraph"/>
              <w:spacing w:line="240" w:lineRule="auto" w:before="0"/>
              <w:ind w:left="44" w:right="90"/>
              <w:jc w:val="center"/>
              <w:rPr>
                <w:rFonts w:ascii="Times New Roman"/>
                <w:sz w:val="15"/>
              </w:rPr>
            </w:pPr>
            <w:r>
              <w:rPr>
                <w:rFonts w:ascii="Times New Roman"/>
                <w:color w:val="231F20"/>
                <w:sz w:val="15"/>
              </w:rPr>
              <w:t>Ordovician</w:t>
            </w:r>
          </w:p>
        </w:tc>
      </w:tr>
      <w:tr>
        <w:trPr>
          <w:trHeight w:val="570" w:hRule="atLeast"/>
        </w:trPr>
        <w:tc>
          <w:tcPr>
            <w:tcW w:w="1812" w:type="dxa"/>
          </w:tcPr>
          <w:p>
            <w:pPr>
              <w:pStyle w:val="TableParagraph"/>
              <w:spacing w:line="240" w:lineRule="auto" w:before="19"/>
              <w:ind w:left="26"/>
              <w:rPr>
                <w:rFonts w:ascii="Times New Roman"/>
                <w:sz w:val="15"/>
              </w:rPr>
            </w:pPr>
            <w:r>
              <w:rPr>
                <w:rFonts w:ascii="Times New Roman"/>
                <w:color w:val="231F20"/>
                <w:sz w:val="15"/>
              </w:rPr>
              <w:t>Kidd Creek</w:t>
            </w:r>
          </w:p>
        </w:tc>
        <w:tc>
          <w:tcPr>
            <w:tcW w:w="2252" w:type="dxa"/>
          </w:tcPr>
          <w:p>
            <w:pPr>
              <w:pStyle w:val="TableParagraph"/>
              <w:spacing w:line="240" w:lineRule="auto" w:before="19"/>
              <w:ind w:left="119"/>
              <w:rPr>
                <w:rFonts w:ascii="Times New Roman"/>
                <w:sz w:val="15"/>
              </w:rPr>
            </w:pPr>
            <w:r>
              <w:rPr>
                <w:rFonts w:ascii="Times New Roman"/>
                <w:color w:val="231F20"/>
                <w:sz w:val="15"/>
              </w:rPr>
              <w:t>Abitibi, Ontario</w:t>
            </w:r>
          </w:p>
        </w:tc>
        <w:tc>
          <w:tcPr>
            <w:tcW w:w="959" w:type="dxa"/>
          </w:tcPr>
          <w:p>
            <w:pPr>
              <w:pStyle w:val="TableParagraph"/>
              <w:spacing w:line="240" w:lineRule="auto" w:before="19"/>
              <w:ind w:left="536"/>
              <w:rPr>
                <w:rFonts w:ascii="Times New Roman"/>
                <w:sz w:val="15"/>
              </w:rPr>
            </w:pPr>
            <w:r>
              <w:rPr>
                <w:rFonts w:ascii="Times New Roman"/>
                <w:color w:val="231F20"/>
                <w:sz w:val="15"/>
              </w:rPr>
              <w:t>149.3</w:t>
            </w:r>
          </w:p>
          <w:p>
            <w:pPr>
              <w:pStyle w:val="TableParagraph"/>
              <w:spacing w:line="172" w:lineRule="exact" w:before="6"/>
              <w:ind w:left="153" w:hanging="8"/>
              <w:rPr>
                <w:rFonts w:ascii="Times New Roman"/>
                <w:sz w:val="13"/>
              </w:rPr>
            </w:pPr>
            <w:r>
              <w:rPr>
                <w:rFonts w:ascii="Times New Roman"/>
                <w:color w:val="231F20"/>
                <w:w w:val="105"/>
                <w:sz w:val="13"/>
              </w:rPr>
              <w:t>(181 mined + all resources)</w:t>
            </w:r>
          </w:p>
        </w:tc>
        <w:tc>
          <w:tcPr>
            <w:tcW w:w="459" w:type="dxa"/>
          </w:tcPr>
          <w:p>
            <w:pPr>
              <w:pStyle w:val="TableParagraph"/>
              <w:spacing w:line="240" w:lineRule="auto" w:before="19"/>
              <w:ind w:right="70"/>
              <w:jc w:val="right"/>
              <w:rPr>
                <w:rFonts w:ascii="Times New Roman"/>
                <w:sz w:val="15"/>
              </w:rPr>
            </w:pPr>
            <w:r>
              <w:rPr>
                <w:rFonts w:ascii="Times New Roman"/>
                <w:color w:val="231F20"/>
                <w:w w:val="95"/>
                <w:sz w:val="15"/>
              </w:rPr>
              <w:t>2.89</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6.36</w:t>
            </w:r>
          </w:p>
        </w:tc>
        <w:tc>
          <w:tcPr>
            <w:tcW w:w="494" w:type="dxa"/>
          </w:tcPr>
          <w:p>
            <w:pPr>
              <w:pStyle w:val="TableParagraph"/>
              <w:spacing w:line="240" w:lineRule="auto" w:before="19"/>
              <w:ind w:right="107"/>
              <w:jc w:val="right"/>
              <w:rPr>
                <w:rFonts w:ascii="Times New Roman"/>
                <w:sz w:val="15"/>
              </w:rPr>
            </w:pPr>
            <w:r>
              <w:rPr>
                <w:rFonts w:ascii="Times New Roman"/>
                <w:color w:val="231F20"/>
                <w:w w:val="95"/>
                <w:sz w:val="15"/>
              </w:rPr>
              <w:t>0.22</w:t>
            </w:r>
          </w:p>
        </w:tc>
        <w:tc>
          <w:tcPr>
            <w:tcW w:w="473" w:type="dxa"/>
          </w:tcPr>
          <w:p>
            <w:pPr>
              <w:pStyle w:val="TableParagraph"/>
              <w:spacing w:line="240" w:lineRule="auto" w:before="19"/>
              <w:ind w:right="105"/>
              <w:jc w:val="right"/>
              <w:rPr>
                <w:rFonts w:ascii="Times New Roman"/>
                <w:sz w:val="15"/>
              </w:rPr>
            </w:pPr>
            <w:r>
              <w:rPr>
                <w:rFonts w:ascii="Times New Roman"/>
                <w:color w:val="231F20"/>
                <w:w w:val="95"/>
                <w:sz w:val="15"/>
              </w:rPr>
              <w:t>92</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0.05</w:t>
            </w:r>
          </w:p>
        </w:tc>
        <w:tc>
          <w:tcPr>
            <w:tcW w:w="1203" w:type="dxa"/>
          </w:tcPr>
          <w:p>
            <w:pPr>
              <w:pStyle w:val="TableParagraph"/>
              <w:spacing w:line="240" w:lineRule="auto" w:before="19"/>
              <w:ind w:left="44" w:right="86"/>
              <w:jc w:val="center"/>
              <w:rPr>
                <w:rFonts w:ascii="Times New Roman"/>
                <w:sz w:val="15"/>
              </w:rPr>
            </w:pPr>
            <w:r>
              <w:rPr>
                <w:rFonts w:ascii="Times New Roman"/>
                <w:color w:val="231F20"/>
                <w:sz w:val="15"/>
              </w:rPr>
              <w:t>Archean</w:t>
            </w:r>
          </w:p>
        </w:tc>
      </w:tr>
      <w:tr>
        <w:trPr>
          <w:trHeight w:val="224" w:hRule="atLeast"/>
        </w:trPr>
        <w:tc>
          <w:tcPr>
            <w:tcW w:w="1812" w:type="dxa"/>
          </w:tcPr>
          <w:p>
            <w:pPr>
              <w:pStyle w:val="TableParagraph"/>
              <w:spacing w:line="240" w:lineRule="auto" w:before="26"/>
              <w:ind w:left="26"/>
              <w:rPr>
                <w:rFonts w:ascii="Times New Roman"/>
                <w:sz w:val="15"/>
              </w:rPr>
            </w:pPr>
            <w:r>
              <w:rPr>
                <w:rFonts w:ascii="Times New Roman"/>
                <w:color w:val="231F20"/>
                <w:sz w:val="15"/>
              </w:rPr>
              <w:t>LaRonde (incl. LaRonde II)</w:t>
            </w:r>
          </w:p>
        </w:tc>
        <w:tc>
          <w:tcPr>
            <w:tcW w:w="2252" w:type="dxa"/>
          </w:tcPr>
          <w:p>
            <w:pPr>
              <w:pStyle w:val="TableParagraph"/>
              <w:spacing w:line="240" w:lineRule="auto" w:before="26"/>
              <w:ind w:left="119"/>
              <w:rPr>
                <w:rFonts w:ascii="Times New Roman"/>
                <w:sz w:val="15"/>
              </w:rPr>
            </w:pPr>
            <w:r>
              <w:rPr>
                <w:rFonts w:ascii="Times New Roman"/>
                <w:color w:val="231F20"/>
                <w:sz w:val="15"/>
              </w:rPr>
              <w:t>Abitibi, Quebec</w:t>
            </w:r>
          </w:p>
        </w:tc>
        <w:tc>
          <w:tcPr>
            <w:tcW w:w="959" w:type="dxa"/>
          </w:tcPr>
          <w:p>
            <w:pPr>
              <w:pStyle w:val="TableParagraph"/>
              <w:spacing w:line="240" w:lineRule="auto" w:before="26"/>
              <w:ind w:right="84"/>
              <w:jc w:val="right"/>
              <w:rPr>
                <w:rFonts w:ascii="Times New Roman"/>
                <w:sz w:val="15"/>
              </w:rPr>
            </w:pPr>
            <w:r>
              <w:rPr>
                <w:rFonts w:ascii="Times New Roman"/>
                <w:color w:val="231F20"/>
                <w:w w:val="95"/>
                <w:sz w:val="15"/>
              </w:rPr>
              <w:t>88.1</w:t>
            </w:r>
          </w:p>
        </w:tc>
        <w:tc>
          <w:tcPr>
            <w:tcW w:w="459" w:type="dxa"/>
          </w:tcPr>
          <w:p>
            <w:pPr>
              <w:pStyle w:val="TableParagraph"/>
              <w:spacing w:line="240" w:lineRule="auto" w:before="26"/>
              <w:ind w:right="68"/>
              <w:jc w:val="right"/>
              <w:rPr>
                <w:rFonts w:ascii="Times New Roman"/>
                <w:sz w:val="15"/>
              </w:rPr>
            </w:pPr>
            <w:r>
              <w:rPr>
                <w:rFonts w:ascii="Times New Roman"/>
                <w:color w:val="231F20"/>
                <w:w w:val="95"/>
                <w:sz w:val="15"/>
              </w:rPr>
              <w:t>0.32</w:t>
            </w:r>
          </w:p>
        </w:tc>
        <w:tc>
          <w:tcPr>
            <w:tcW w:w="491" w:type="dxa"/>
          </w:tcPr>
          <w:p>
            <w:pPr>
              <w:pStyle w:val="TableParagraph"/>
              <w:spacing w:line="240" w:lineRule="auto" w:before="26"/>
              <w:ind w:right="86"/>
              <w:jc w:val="right"/>
              <w:rPr>
                <w:rFonts w:ascii="Times New Roman"/>
                <w:sz w:val="15"/>
              </w:rPr>
            </w:pPr>
            <w:r>
              <w:rPr>
                <w:rFonts w:ascii="Times New Roman"/>
                <w:color w:val="231F20"/>
                <w:w w:val="95"/>
                <w:sz w:val="15"/>
              </w:rPr>
              <w:t>1.71</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26"/>
              <w:ind w:right="106"/>
              <w:jc w:val="right"/>
              <w:rPr>
                <w:rFonts w:ascii="Times New Roman"/>
                <w:sz w:val="15"/>
              </w:rPr>
            </w:pPr>
            <w:r>
              <w:rPr>
                <w:rFonts w:ascii="Times New Roman"/>
                <w:color w:val="231F20"/>
                <w:w w:val="95"/>
                <w:sz w:val="15"/>
              </w:rPr>
              <w:t>40.9</w:t>
            </w:r>
          </w:p>
        </w:tc>
        <w:tc>
          <w:tcPr>
            <w:tcW w:w="438" w:type="dxa"/>
          </w:tcPr>
          <w:p>
            <w:pPr>
              <w:pStyle w:val="TableParagraph"/>
              <w:spacing w:line="240" w:lineRule="auto" w:before="26"/>
              <w:ind w:left="78" w:right="48"/>
              <w:jc w:val="center"/>
              <w:rPr>
                <w:rFonts w:ascii="Times New Roman"/>
                <w:sz w:val="15"/>
              </w:rPr>
            </w:pPr>
            <w:r>
              <w:rPr>
                <w:rFonts w:ascii="Times New Roman"/>
                <w:color w:val="231F20"/>
                <w:sz w:val="15"/>
              </w:rPr>
              <w:t>5.07</w:t>
            </w:r>
          </w:p>
        </w:tc>
        <w:tc>
          <w:tcPr>
            <w:tcW w:w="1203" w:type="dxa"/>
          </w:tcPr>
          <w:p>
            <w:pPr>
              <w:pStyle w:val="TableParagraph"/>
              <w:spacing w:line="240" w:lineRule="auto" w:before="26"/>
              <w:ind w:left="44" w:right="86"/>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Selbaie</w:t>
            </w:r>
          </w:p>
        </w:tc>
        <w:tc>
          <w:tcPr>
            <w:tcW w:w="2252" w:type="dxa"/>
          </w:tcPr>
          <w:p>
            <w:pPr>
              <w:pStyle w:val="TableParagraph"/>
              <w:spacing w:line="240" w:lineRule="auto" w:before="19"/>
              <w:ind w:left="119"/>
              <w:rPr>
                <w:rFonts w:ascii="Times New Roman"/>
                <w:sz w:val="15"/>
              </w:rPr>
            </w:pPr>
            <w:r>
              <w:rPr>
                <w:rFonts w:ascii="Times New Roman"/>
                <w:color w:val="231F20"/>
                <w:sz w:val="15"/>
              </w:rPr>
              <w:t>Abitibi, Quebec</w:t>
            </w:r>
          </w:p>
        </w:tc>
        <w:tc>
          <w:tcPr>
            <w:tcW w:w="959" w:type="dxa"/>
          </w:tcPr>
          <w:p>
            <w:pPr>
              <w:pStyle w:val="TableParagraph"/>
              <w:spacing w:line="240" w:lineRule="auto" w:before="19"/>
              <w:ind w:right="84"/>
              <w:jc w:val="right"/>
              <w:rPr>
                <w:rFonts w:ascii="Times New Roman"/>
                <w:sz w:val="15"/>
              </w:rPr>
            </w:pPr>
            <w:r>
              <w:rPr>
                <w:rFonts w:ascii="Times New Roman"/>
                <w:color w:val="231F20"/>
                <w:w w:val="95"/>
                <w:sz w:val="15"/>
              </w:rPr>
              <w:t>47.3</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0.98</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1.98</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5"/>
              <w:jc w:val="right"/>
              <w:rPr>
                <w:rFonts w:ascii="Times New Roman"/>
                <w:sz w:val="15"/>
              </w:rPr>
            </w:pPr>
            <w:r>
              <w:rPr>
                <w:rFonts w:ascii="Times New Roman"/>
                <w:color w:val="231F20"/>
                <w:w w:val="95"/>
                <w:sz w:val="15"/>
              </w:rPr>
              <w:t>20</w:t>
            </w:r>
          </w:p>
        </w:tc>
        <w:tc>
          <w:tcPr>
            <w:tcW w:w="438" w:type="dxa"/>
          </w:tcPr>
          <w:p>
            <w:pPr>
              <w:pStyle w:val="TableParagraph"/>
              <w:spacing w:line="240" w:lineRule="auto" w:before="19"/>
              <w:ind w:left="155" w:right="48"/>
              <w:jc w:val="center"/>
              <w:rPr>
                <w:rFonts w:ascii="Times New Roman"/>
                <w:sz w:val="15"/>
              </w:rPr>
            </w:pPr>
            <w:r>
              <w:rPr>
                <w:rFonts w:ascii="Times New Roman"/>
                <w:color w:val="231F20"/>
                <w:sz w:val="15"/>
              </w:rPr>
              <w:t>0.9</w:t>
            </w:r>
          </w:p>
        </w:tc>
        <w:tc>
          <w:tcPr>
            <w:tcW w:w="1203" w:type="dxa"/>
          </w:tcPr>
          <w:p>
            <w:pPr>
              <w:pStyle w:val="TableParagraph"/>
              <w:spacing w:line="240" w:lineRule="auto" w:before="19"/>
              <w:ind w:left="44" w:right="86"/>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Myra Falls Gp.,Buttle Lake</w:t>
            </w:r>
          </w:p>
        </w:tc>
        <w:tc>
          <w:tcPr>
            <w:tcW w:w="2252" w:type="dxa"/>
          </w:tcPr>
          <w:p>
            <w:pPr>
              <w:pStyle w:val="TableParagraph"/>
              <w:spacing w:line="240" w:lineRule="auto" w:before="19"/>
              <w:ind w:left="119"/>
              <w:rPr>
                <w:rFonts w:ascii="Times New Roman"/>
                <w:sz w:val="15"/>
              </w:rPr>
            </w:pPr>
            <w:r>
              <w:rPr>
                <w:rFonts w:ascii="Times New Roman"/>
                <w:color w:val="231F20"/>
                <w:sz w:val="15"/>
              </w:rPr>
              <w:t>Wrangellia, British Columbia</w:t>
            </w:r>
          </w:p>
        </w:tc>
        <w:tc>
          <w:tcPr>
            <w:tcW w:w="959" w:type="dxa"/>
          </w:tcPr>
          <w:p>
            <w:pPr>
              <w:pStyle w:val="TableParagraph"/>
              <w:spacing w:line="240" w:lineRule="auto" w:before="19"/>
              <w:ind w:right="82"/>
              <w:jc w:val="right"/>
              <w:rPr>
                <w:rFonts w:ascii="Times New Roman"/>
                <w:sz w:val="15"/>
              </w:rPr>
            </w:pPr>
            <w:r>
              <w:rPr>
                <w:rFonts w:ascii="Times New Roman"/>
                <w:color w:val="231F20"/>
                <w:w w:val="95"/>
                <w:sz w:val="15"/>
              </w:rPr>
              <w:t>29.3</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1.83</w:t>
            </w:r>
          </w:p>
        </w:tc>
        <w:tc>
          <w:tcPr>
            <w:tcW w:w="491" w:type="dxa"/>
          </w:tcPr>
          <w:p>
            <w:pPr>
              <w:pStyle w:val="TableParagraph"/>
              <w:spacing w:line="240" w:lineRule="auto" w:before="19"/>
              <w:ind w:right="85"/>
              <w:jc w:val="right"/>
              <w:rPr>
                <w:rFonts w:ascii="Times New Roman"/>
                <w:sz w:val="15"/>
              </w:rPr>
            </w:pPr>
            <w:r>
              <w:rPr>
                <w:rFonts w:ascii="Times New Roman"/>
                <w:color w:val="231F20"/>
                <w:w w:val="95"/>
                <w:sz w:val="15"/>
              </w:rPr>
              <w:t>6.25</w:t>
            </w:r>
          </w:p>
        </w:tc>
        <w:tc>
          <w:tcPr>
            <w:tcW w:w="494" w:type="dxa"/>
          </w:tcPr>
          <w:p>
            <w:pPr>
              <w:pStyle w:val="TableParagraph"/>
              <w:spacing w:line="240" w:lineRule="auto" w:before="19"/>
              <w:ind w:right="106"/>
              <w:jc w:val="right"/>
              <w:rPr>
                <w:rFonts w:ascii="Times New Roman"/>
                <w:sz w:val="15"/>
              </w:rPr>
            </w:pPr>
            <w:r>
              <w:rPr>
                <w:rFonts w:ascii="Times New Roman"/>
                <w:color w:val="231F20"/>
                <w:sz w:val="15"/>
              </w:rPr>
              <w:t>0.55</w:t>
            </w:r>
          </w:p>
        </w:tc>
        <w:tc>
          <w:tcPr>
            <w:tcW w:w="473" w:type="dxa"/>
          </w:tcPr>
          <w:p>
            <w:pPr>
              <w:pStyle w:val="TableParagraph"/>
              <w:spacing w:line="240" w:lineRule="auto" w:before="19"/>
              <w:ind w:right="104"/>
              <w:jc w:val="right"/>
              <w:rPr>
                <w:rFonts w:ascii="Times New Roman"/>
                <w:sz w:val="15"/>
              </w:rPr>
            </w:pPr>
            <w:r>
              <w:rPr>
                <w:rFonts w:ascii="Times New Roman"/>
                <w:color w:val="231F20"/>
                <w:w w:val="95"/>
                <w:sz w:val="15"/>
              </w:rPr>
              <w:t>49</w:t>
            </w:r>
          </w:p>
        </w:tc>
        <w:tc>
          <w:tcPr>
            <w:tcW w:w="438" w:type="dxa"/>
          </w:tcPr>
          <w:p>
            <w:pPr>
              <w:pStyle w:val="TableParagraph"/>
              <w:spacing w:line="240" w:lineRule="auto" w:before="19"/>
              <w:ind w:left="79" w:right="48"/>
              <w:jc w:val="center"/>
              <w:rPr>
                <w:rFonts w:ascii="Times New Roman"/>
                <w:sz w:val="15"/>
              </w:rPr>
            </w:pPr>
            <w:r>
              <w:rPr>
                <w:rFonts w:ascii="Times New Roman"/>
                <w:color w:val="231F20"/>
                <w:sz w:val="15"/>
              </w:rPr>
              <w:t>2.01</w:t>
            </w:r>
          </w:p>
        </w:tc>
        <w:tc>
          <w:tcPr>
            <w:tcW w:w="1203" w:type="dxa"/>
          </w:tcPr>
          <w:p>
            <w:pPr>
              <w:pStyle w:val="TableParagraph"/>
              <w:spacing w:line="240" w:lineRule="auto" w:before="19"/>
              <w:ind w:left="44" w:right="86"/>
              <w:jc w:val="center"/>
              <w:rPr>
                <w:rFonts w:ascii="Times New Roman"/>
                <w:sz w:val="15"/>
              </w:rPr>
            </w:pPr>
            <w:r>
              <w:rPr>
                <w:rFonts w:ascii="Times New Roman"/>
                <w:color w:val="231F20"/>
                <w:sz w:val="15"/>
              </w:rPr>
              <w:t>Devonian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Trout Lake</w:t>
            </w:r>
          </w:p>
        </w:tc>
        <w:tc>
          <w:tcPr>
            <w:tcW w:w="2252" w:type="dxa"/>
          </w:tcPr>
          <w:p>
            <w:pPr>
              <w:pStyle w:val="TableParagraph"/>
              <w:spacing w:line="240" w:lineRule="auto" w:before="19"/>
              <w:ind w:left="119"/>
              <w:rPr>
                <w:rFonts w:ascii="Times New Roman"/>
                <w:sz w:val="15"/>
              </w:rPr>
            </w:pPr>
            <w:r>
              <w:rPr>
                <w:rFonts w:ascii="Times New Roman"/>
                <w:color w:val="231F20"/>
                <w:sz w:val="15"/>
              </w:rPr>
              <w:t>Trans-Hudson Orogen, Manitoba</w:t>
            </w:r>
          </w:p>
        </w:tc>
        <w:tc>
          <w:tcPr>
            <w:tcW w:w="959" w:type="dxa"/>
          </w:tcPr>
          <w:p>
            <w:pPr>
              <w:pStyle w:val="TableParagraph"/>
              <w:spacing w:line="240" w:lineRule="auto" w:before="19"/>
              <w:ind w:right="81"/>
              <w:jc w:val="right"/>
              <w:rPr>
                <w:rFonts w:ascii="Times New Roman"/>
                <w:sz w:val="15"/>
              </w:rPr>
            </w:pPr>
            <w:r>
              <w:rPr>
                <w:rFonts w:ascii="Times New Roman"/>
                <w:color w:val="231F20"/>
                <w:sz w:val="15"/>
              </w:rPr>
              <w:t>20</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1.83</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5.59</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17.4</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1.73</w:t>
            </w:r>
          </w:p>
        </w:tc>
        <w:tc>
          <w:tcPr>
            <w:tcW w:w="1203" w:type="dxa"/>
          </w:tcPr>
          <w:p>
            <w:pPr>
              <w:pStyle w:val="TableParagraph"/>
              <w:spacing w:line="240" w:lineRule="auto" w:before="19"/>
              <w:ind w:left="44" w:right="97"/>
              <w:jc w:val="center"/>
              <w:rPr>
                <w:rFonts w:ascii="Times New Roman"/>
                <w:sz w:val="15"/>
              </w:rPr>
            </w:pPr>
            <w:r>
              <w:rPr>
                <w:rFonts w:ascii="Times New Roman"/>
                <w:color w:val="231F20"/>
                <w:sz w:val="15"/>
              </w:rPr>
              <w:t>Paleoproterozic</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Louvicourt</w:t>
            </w:r>
          </w:p>
        </w:tc>
        <w:tc>
          <w:tcPr>
            <w:tcW w:w="2252" w:type="dxa"/>
          </w:tcPr>
          <w:p>
            <w:pPr>
              <w:pStyle w:val="TableParagraph"/>
              <w:spacing w:line="240" w:lineRule="auto" w:before="19"/>
              <w:ind w:left="119"/>
              <w:rPr>
                <w:rFonts w:ascii="Times New Roman"/>
                <w:sz w:val="15"/>
              </w:rPr>
            </w:pPr>
            <w:r>
              <w:rPr>
                <w:rFonts w:ascii="Times New Roman"/>
                <w:color w:val="231F20"/>
                <w:sz w:val="15"/>
              </w:rPr>
              <w:t>Abitibi, Quebec</w:t>
            </w:r>
          </w:p>
        </w:tc>
        <w:tc>
          <w:tcPr>
            <w:tcW w:w="959" w:type="dxa"/>
          </w:tcPr>
          <w:p>
            <w:pPr>
              <w:pStyle w:val="TableParagraph"/>
              <w:spacing w:line="240" w:lineRule="auto" w:before="19"/>
              <w:ind w:right="84"/>
              <w:jc w:val="right"/>
              <w:rPr>
                <w:rFonts w:ascii="Times New Roman"/>
                <w:sz w:val="15"/>
              </w:rPr>
            </w:pPr>
            <w:r>
              <w:rPr>
                <w:rFonts w:ascii="Times New Roman"/>
                <w:color w:val="231F20"/>
                <w:w w:val="95"/>
                <w:sz w:val="15"/>
              </w:rPr>
              <w:t>19.3</w:t>
            </w:r>
          </w:p>
        </w:tc>
        <w:tc>
          <w:tcPr>
            <w:tcW w:w="459" w:type="dxa"/>
          </w:tcPr>
          <w:p>
            <w:pPr>
              <w:pStyle w:val="TableParagraph"/>
              <w:spacing w:line="240" w:lineRule="auto" w:before="19"/>
              <w:ind w:right="67"/>
              <w:jc w:val="right"/>
              <w:rPr>
                <w:rFonts w:ascii="Times New Roman"/>
                <w:sz w:val="15"/>
              </w:rPr>
            </w:pPr>
            <w:r>
              <w:rPr>
                <w:rFonts w:ascii="Times New Roman"/>
                <w:color w:val="231F20"/>
                <w:w w:val="95"/>
                <w:sz w:val="15"/>
              </w:rPr>
              <w:t>3.1</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1.71</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28.7</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0.83</w:t>
            </w:r>
          </w:p>
        </w:tc>
        <w:tc>
          <w:tcPr>
            <w:tcW w:w="1203" w:type="dxa"/>
          </w:tcPr>
          <w:p>
            <w:pPr>
              <w:pStyle w:val="TableParagraph"/>
              <w:spacing w:line="240" w:lineRule="auto" w:before="19"/>
              <w:ind w:left="44" w:right="86"/>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Triple 7</w:t>
            </w:r>
          </w:p>
        </w:tc>
        <w:tc>
          <w:tcPr>
            <w:tcW w:w="2252" w:type="dxa"/>
          </w:tcPr>
          <w:p>
            <w:pPr>
              <w:pStyle w:val="TableParagraph"/>
              <w:spacing w:line="240" w:lineRule="auto" w:before="19"/>
              <w:ind w:left="119"/>
              <w:rPr>
                <w:rFonts w:ascii="Times New Roman"/>
                <w:sz w:val="15"/>
              </w:rPr>
            </w:pPr>
            <w:r>
              <w:rPr>
                <w:rFonts w:ascii="Times New Roman"/>
                <w:color w:val="231F20"/>
                <w:sz w:val="15"/>
              </w:rPr>
              <w:t>Trans-Hudson Orogen, Manitoba</w:t>
            </w:r>
          </w:p>
        </w:tc>
        <w:tc>
          <w:tcPr>
            <w:tcW w:w="959" w:type="dxa"/>
          </w:tcPr>
          <w:p>
            <w:pPr>
              <w:pStyle w:val="TableParagraph"/>
              <w:spacing w:line="240" w:lineRule="auto" w:before="19"/>
              <w:ind w:right="83"/>
              <w:jc w:val="right"/>
              <w:rPr>
                <w:rFonts w:ascii="Times New Roman"/>
                <w:sz w:val="15"/>
              </w:rPr>
            </w:pPr>
            <w:r>
              <w:rPr>
                <w:rFonts w:ascii="Times New Roman"/>
                <w:color w:val="231F20"/>
                <w:w w:val="95"/>
                <w:sz w:val="15"/>
              </w:rPr>
              <w:t>14.5</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3.32</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5.78</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37.7</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2.71</w:t>
            </w:r>
          </w:p>
        </w:tc>
        <w:tc>
          <w:tcPr>
            <w:tcW w:w="1203" w:type="dxa"/>
          </w:tcPr>
          <w:p>
            <w:pPr>
              <w:pStyle w:val="TableParagraph"/>
              <w:spacing w:line="240" w:lineRule="auto" w:before="19"/>
              <w:ind w:left="44" w:right="97"/>
              <w:jc w:val="center"/>
              <w:rPr>
                <w:rFonts w:ascii="Times New Roman"/>
                <w:sz w:val="15"/>
              </w:rPr>
            </w:pPr>
            <w:r>
              <w:rPr>
                <w:rFonts w:ascii="Times New Roman"/>
                <w:color w:val="231F20"/>
                <w:sz w:val="15"/>
              </w:rPr>
              <w:t>Paleoproterozic</w:t>
            </w:r>
          </w:p>
        </w:tc>
      </w:tr>
      <w:tr>
        <w:trPr>
          <w:trHeight w:val="217" w:hRule="atLeast"/>
        </w:trPr>
        <w:tc>
          <w:tcPr>
            <w:tcW w:w="1812" w:type="dxa"/>
          </w:tcPr>
          <w:p>
            <w:pPr>
              <w:pStyle w:val="TableParagraph"/>
              <w:spacing w:line="240" w:lineRule="auto" w:before="19"/>
              <w:ind w:left="26"/>
              <w:rPr>
                <w:rFonts w:ascii="Times New Roman" w:hAnsi="Times New Roman"/>
                <w:sz w:val="15"/>
              </w:rPr>
            </w:pPr>
            <w:r>
              <w:rPr>
                <w:rFonts w:ascii="Times New Roman" w:hAnsi="Times New Roman"/>
                <w:color w:val="231F20"/>
                <w:sz w:val="15"/>
              </w:rPr>
              <w:t>Bouchard-Hébert</w:t>
            </w:r>
          </w:p>
        </w:tc>
        <w:tc>
          <w:tcPr>
            <w:tcW w:w="2252" w:type="dxa"/>
          </w:tcPr>
          <w:p>
            <w:pPr>
              <w:pStyle w:val="TableParagraph"/>
              <w:spacing w:line="240" w:lineRule="auto" w:before="19"/>
              <w:ind w:left="119"/>
              <w:rPr>
                <w:rFonts w:ascii="Times New Roman"/>
                <w:sz w:val="15"/>
              </w:rPr>
            </w:pPr>
            <w:r>
              <w:rPr>
                <w:rFonts w:ascii="Times New Roman"/>
                <w:color w:val="231F20"/>
                <w:sz w:val="15"/>
              </w:rPr>
              <w:t>Abitibi, Quebec</w:t>
            </w:r>
          </w:p>
        </w:tc>
        <w:tc>
          <w:tcPr>
            <w:tcW w:w="959" w:type="dxa"/>
          </w:tcPr>
          <w:p>
            <w:pPr>
              <w:pStyle w:val="TableParagraph"/>
              <w:spacing w:line="240" w:lineRule="auto" w:before="19"/>
              <w:ind w:right="83"/>
              <w:jc w:val="right"/>
              <w:rPr>
                <w:rFonts w:ascii="Times New Roman"/>
                <w:sz w:val="15"/>
              </w:rPr>
            </w:pPr>
            <w:r>
              <w:rPr>
                <w:rFonts w:ascii="Times New Roman"/>
                <w:color w:val="231F20"/>
                <w:w w:val="95"/>
                <w:sz w:val="15"/>
              </w:rPr>
              <w:t>10.2</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2.11</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4.79</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5"/>
              <w:jc w:val="right"/>
              <w:rPr>
                <w:rFonts w:ascii="Times New Roman"/>
                <w:sz w:val="15"/>
              </w:rPr>
            </w:pPr>
            <w:r>
              <w:rPr>
                <w:rFonts w:ascii="Times New Roman"/>
                <w:color w:val="231F20"/>
                <w:w w:val="95"/>
                <w:sz w:val="15"/>
              </w:rPr>
              <w:t>15</w:t>
            </w:r>
          </w:p>
        </w:tc>
        <w:tc>
          <w:tcPr>
            <w:tcW w:w="438" w:type="dxa"/>
          </w:tcPr>
          <w:p>
            <w:pPr>
              <w:pStyle w:val="TableParagraph"/>
              <w:spacing w:line="240" w:lineRule="auto" w:before="19"/>
              <w:ind w:left="154" w:right="48"/>
              <w:jc w:val="center"/>
              <w:rPr>
                <w:rFonts w:ascii="Times New Roman"/>
                <w:sz w:val="15"/>
              </w:rPr>
            </w:pPr>
            <w:r>
              <w:rPr>
                <w:rFonts w:ascii="Times New Roman"/>
                <w:color w:val="231F20"/>
                <w:sz w:val="15"/>
              </w:rPr>
              <w:t>1.4</w:t>
            </w:r>
          </w:p>
        </w:tc>
        <w:tc>
          <w:tcPr>
            <w:tcW w:w="1203" w:type="dxa"/>
          </w:tcPr>
          <w:p>
            <w:pPr>
              <w:pStyle w:val="TableParagraph"/>
              <w:spacing w:line="240" w:lineRule="auto" w:before="19"/>
              <w:ind w:left="44" w:right="86"/>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Callinan</w:t>
            </w:r>
          </w:p>
        </w:tc>
        <w:tc>
          <w:tcPr>
            <w:tcW w:w="2252" w:type="dxa"/>
          </w:tcPr>
          <w:p>
            <w:pPr>
              <w:pStyle w:val="TableParagraph"/>
              <w:spacing w:line="240" w:lineRule="auto" w:before="19"/>
              <w:ind w:left="119"/>
              <w:rPr>
                <w:rFonts w:ascii="Times New Roman"/>
                <w:sz w:val="15"/>
              </w:rPr>
            </w:pPr>
            <w:r>
              <w:rPr>
                <w:rFonts w:ascii="Times New Roman"/>
                <w:color w:val="231F20"/>
                <w:sz w:val="15"/>
              </w:rPr>
              <w:t>Trans-Hudson Orogen, Manitoba</w:t>
            </w:r>
          </w:p>
        </w:tc>
        <w:tc>
          <w:tcPr>
            <w:tcW w:w="959" w:type="dxa"/>
          </w:tcPr>
          <w:p>
            <w:pPr>
              <w:pStyle w:val="TableParagraph"/>
              <w:spacing w:line="240" w:lineRule="auto" w:before="19"/>
              <w:ind w:right="83"/>
              <w:jc w:val="right"/>
              <w:rPr>
                <w:rFonts w:ascii="Times New Roman"/>
                <w:sz w:val="15"/>
              </w:rPr>
            </w:pPr>
            <w:r>
              <w:rPr>
                <w:rFonts w:ascii="Times New Roman"/>
                <w:color w:val="231F20"/>
                <w:sz w:val="15"/>
              </w:rPr>
              <w:t>9.16</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1.41</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3.59</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23.5</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2.08</w:t>
            </w:r>
          </w:p>
        </w:tc>
        <w:tc>
          <w:tcPr>
            <w:tcW w:w="1203" w:type="dxa"/>
          </w:tcPr>
          <w:p>
            <w:pPr>
              <w:pStyle w:val="TableParagraph"/>
              <w:spacing w:line="240" w:lineRule="auto" w:before="19"/>
              <w:ind w:left="44" w:right="98"/>
              <w:jc w:val="center"/>
              <w:rPr>
                <w:rFonts w:ascii="Times New Roman"/>
                <w:sz w:val="15"/>
              </w:rPr>
            </w:pPr>
            <w:r>
              <w:rPr>
                <w:rFonts w:ascii="Times New Roman"/>
                <w:color w:val="231F20"/>
                <w:sz w:val="15"/>
              </w:rPr>
              <w:t>Paleoproterozic</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Duck Pond*</w:t>
            </w:r>
          </w:p>
        </w:tc>
        <w:tc>
          <w:tcPr>
            <w:tcW w:w="2252" w:type="dxa"/>
          </w:tcPr>
          <w:p>
            <w:pPr>
              <w:pStyle w:val="TableParagraph"/>
              <w:spacing w:line="240" w:lineRule="auto" w:before="19"/>
              <w:ind w:left="119"/>
              <w:rPr>
                <w:rFonts w:ascii="Times New Roman"/>
                <w:sz w:val="15"/>
              </w:rPr>
            </w:pPr>
            <w:r>
              <w:rPr>
                <w:rFonts w:ascii="Times New Roman"/>
                <w:color w:val="231F20"/>
                <w:sz w:val="15"/>
              </w:rPr>
              <w:t>Central Volcanic Belt,</w:t>
            </w:r>
          </w:p>
        </w:tc>
        <w:tc>
          <w:tcPr>
            <w:tcW w:w="959" w:type="dxa"/>
          </w:tcPr>
          <w:p>
            <w:pPr>
              <w:pStyle w:val="TableParagraph"/>
              <w:spacing w:line="240" w:lineRule="auto" w:before="19"/>
              <w:ind w:right="82"/>
              <w:jc w:val="right"/>
              <w:rPr>
                <w:rFonts w:ascii="Times New Roman"/>
                <w:sz w:val="15"/>
              </w:rPr>
            </w:pPr>
            <w:r>
              <w:rPr>
                <w:rFonts w:ascii="Times New Roman"/>
                <w:color w:val="231F20"/>
                <w:w w:val="95"/>
                <w:sz w:val="15"/>
              </w:rPr>
              <w:t>5.2</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3.24</w:t>
            </w:r>
          </w:p>
        </w:tc>
        <w:tc>
          <w:tcPr>
            <w:tcW w:w="491" w:type="dxa"/>
          </w:tcPr>
          <w:p>
            <w:pPr>
              <w:pStyle w:val="TableParagraph"/>
              <w:spacing w:line="240" w:lineRule="auto" w:before="19"/>
              <w:ind w:right="86"/>
              <w:jc w:val="right"/>
              <w:rPr>
                <w:rFonts w:ascii="Times New Roman"/>
                <w:sz w:val="15"/>
              </w:rPr>
            </w:pPr>
            <w:r>
              <w:rPr>
                <w:rFonts w:ascii="Times New Roman"/>
                <w:color w:val="231F20"/>
                <w:w w:val="95"/>
                <w:sz w:val="15"/>
              </w:rPr>
              <w:t>5.97</w:t>
            </w:r>
          </w:p>
        </w:tc>
        <w:tc>
          <w:tcPr>
            <w:tcW w:w="494" w:type="dxa"/>
          </w:tcPr>
          <w:p>
            <w:pPr>
              <w:pStyle w:val="TableParagraph"/>
              <w:spacing w:line="240" w:lineRule="auto" w:before="19"/>
              <w:ind w:right="106"/>
              <w:jc w:val="right"/>
              <w:rPr>
                <w:rFonts w:ascii="Times New Roman"/>
                <w:sz w:val="15"/>
              </w:rPr>
            </w:pPr>
            <w:r>
              <w:rPr>
                <w:rFonts w:ascii="Times New Roman"/>
                <w:color w:val="231F20"/>
                <w:w w:val="95"/>
                <w:sz w:val="15"/>
              </w:rPr>
              <w:t>1.1</w:t>
            </w: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61.5</w:t>
            </w:r>
          </w:p>
        </w:tc>
        <w:tc>
          <w:tcPr>
            <w:tcW w:w="438" w:type="dxa"/>
          </w:tcPr>
          <w:p>
            <w:pPr>
              <w:pStyle w:val="TableParagraph"/>
              <w:spacing w:line="240" w:lineRule="auto" w:before="19"/>
              <w:ind w:left="78" w:right="48"/>
              <w:jc w:val="center"/>
              <w:rPr>
                <w:rFonts w:ascii="Times New Roman"/>
                <w:sz w:val="15"/>
              </w:rPr>
            </w:pPr>
            <w:r>
              <w:rPr>
                <w:rFonts w:ascii="Times New Roman"/>
                <w:color w:val="231F20"/>
                <w:sz w:val="15"/>
              </w:rPr>
              <w:t>0.88</w:t>
            </w:r>
          </w:p>
        </w:tc>
        <w:tc>
          <w:tcPr>
            <w:tcW w:w="1203" w:type="dxa"/>
          </w:tcPr>
          <w:p>
            <w:pPr>
              <w:pStyle w:val="TableParagraph"/>
              <w:spacing w:line="240" w:lineRule="auto" w:before="19"/>
              <w:ind w:left="44" w:right="89"/>
              <w:jc w:val="center"/>
              <w:rPr>
                <w:rFonts w:ascii="Times New Roman"/>
                <w:sz w:val="15"/>
              </w:rPr>
            </w:pPr>
            <w:r>
              <w:rPr>
                <w:rFonts w:ascii="Times New Roman"/>
                <w:color w:val="231F20"/>
                <w:sz w:val="15"/>
              </w:rPr>
              <w:t>Ordovician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Perseverence Group *</w:t>
            </w:r>
          </w:p>
        </w:tc>
        <w:tc>
          <w:tcPr>
            <w:tcW w:w="2252" w:type="dxa"/>
          </w:tcPr>
          <w:p>
            <w:pPr>
              <w:pStyle w:val="TableParagraph"/>
              <w:spacing w:line="240" w:lineRule="auto" w:before="19"/>
              <w:ind w:left="119"/>
              <w:rPr>
                <w:rFonts w:ascii="Times New Roman"/>
                <w:sz w:val="15"/>
              </w:rPr>
            </w:pPr>
            <w:r>
              <w:rPr>
                <w:rFonts w:ascii="Times New Roman"/>
                <w:color w:val="231F20"/>
                <w:sz w:val="15"/>
              </w:rPr>
              <w:t>Abitibi , Quebec</w:t>
            </w:r>
          </w:p>
        </w:tc>
        <w:tc>
          <w:tcPr>
            <w:tcW w:w="959" w:type="dxa"/>
          </w:tcPr>
          <w:p>
            <w:pPr>
              <w:pStyle w:val="TableParagraph"/>
              <w:spacing w:line="240" w:lineRule="auto" w:before="19"/>
              <w:ind w:right="82"/>
              <w:jc w:val="right"/>
              <w:rPr>
                <w:rFonts w:ascii="Times New Roman"/>
                <w:sz w:val="15"/>
              </w:rPr>
            </w:pPr>
            <w:r>
              <w:rPr>
                <w:rFonts w:ascii="Times New Roman"/>
                <w:color w:val="231F20"/>
                <w:w w:val="95"/>
                <w:sz w:val="15"/>
              </w:rPr>
              <w:t>5.1</w:t>
            </w:r>
          </w:p>
        </w:tc>
        <w:tc>
          <w:tcPr>
            <w:tcW w:w="459" w:type="dxa"/>
          </w:tcPr>
          <w:p>
            <w:pPr>
              <w:pStyle w:val="TableParagraph"/>
              <w:spacing w:line="240" w:lineRule="auto" w:before="19"/>
              <w:ind w:right="70"/>
              <w:jc w:val="right"/>
              <w:rPr>
                <w:rFonts w:ascii="Times New Roman"/>
                <w:sz w:val="15"/>
              </w:rPr>
            </w:pPr>
            <w:r>
              <w:rPr>
                <w:rFonts w:ascii="Times New Roman"/>
                <w:color w:val="231F20"/>
                <w:w w:val="95"/>
                <w:sz w:val="15"/>
              </w:rPr>
              <w:t>1.24</w:t>
            </w:r>
          </w:p>
        </w:tc>
        <w:tc>
          <w:tcPr>
            <w:tcW w:w="491" w:type="dxa"/>
          </w:tcPr>
          <w:p>
            <w:pPr>
              <w:pStyle w:val="TableParagraph"/>
              <w:spacing w:line="240" w:lineRule="auto" w:before="19"/>
              <w:ind w:right="87"/>
              <w:jc w:val="right"/>
              <w:rPr>
                <w:rFonts w:ascii="Times New Roman"/>
                <w:sz w:val="15"/>
              </w:rPr>
            </w:pPr>
            <w:r>
              <w:rPr>
                <w:rFonts w:ascii="Times New Roman"/>
                <w:color w:val="231F20"/>
                <w:w w:val="95"/>
                <w:sz w:val="15"/>
              </w:rPr>
              <w:t>15.82</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29.4</w:t>
            </w:r>
          </w:p>
        </w:tc>
        <w:tc>
          <w:tcPr>
            <w:tcW w:w="438" w:type="dxa"/>
          </w:tcPr>
          <w:p>
            <w:pPr>
              <w:pStyle w:val="TableParagraph"/>
              <w:spacing w:line="240" w:lineRule="auto" w:before="19"/>
              <w:ind w:left="77" w:right="48"/>
              <w:jc w:val="center"/>
              <w:rPr>
                <w:rFonts w:ascii="Times New Roman"/>
                <w:sz w:val="15"/>
              </w:rPr>
            </w:pPr>
            <w:r>
              <w:rPr>
                <w:rFonts w:ascii="Times New Roman"/>
                <w:color w:val="231F20"/>
                <w:sz w:val="15"/>
              </w:rPr>
              <w:t>0.38</w:t>
            </w:r>
          </w:p>
        </w:tc>
        <w:tc>
          <w:tcPr>
            <w:tcW w:w="1203" w:type="dxa"/>
          </w:tcPr>
          <w:p>
            <w:pPr>
              <w:pStyle w:val="TableParagraph"/>
              <w:spacing w:line="240" w:lineRule="auto" w:before="19"/>
              <w:ind w:left="44" w:right="87"/>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Eskay Creek</w:t>
            </w:r>
          </w:p>
        </w:tc>
        <w:tc>
          <w:tcPr>
            <w:tcW w:w="2252" w:type="dxa"/>
          </w:tcPr>
          <w:p>
            <w:pPr>
              <w:pStyle w:val="TableParagraph"/>
              <w:spacing w:line="240" w:lineRule="auto" w:before="19"/>
              <w:ind w:left="118"/>
              <w:rPr>
                <w:rFonts w:ascii="Times New Roman"/>
                <w:sz w:val="15"/>
              </w:rPr>
            </w:pPr>
            <w:r>
              <w:rPr>
                <w:rFonts w:ascii="Times New Roman"/>
                <w:color w:val="231F20"/>
                <w:sz w:val="15"/>
              </w:rPr>
              <w:t>Stikine, British Columbia</w:t>
            </w:r>
          </w:p>
        </w:tc>
        <w:tc>
          <w:tcPr>
            <w:tcW w:w="959" w:type="dxa"/>
          </w:tcPr>
          <w:p>
            <w:pPr>
              <w:pStyle w:val="TableParagraph"/>
              <w:spacing w:line="240" w:lineRule="auto" w:before="19"/>
              <w:ind w:right="81"/>
              <w:jc w:val="right"/>
              <w:rPr>
                <w:rFonts w:ascii="Times New Roman"/>
                <w:sz w:val="15"/>
              </w:rPr>
            </w:pPr>
            <w:r>
              <w:rPr>
                <w:rFonts w:ascii="Times New Roman"/>
                <w:color w:val="231F20"/>
                <w:w w:val="99"/>
                <w:sz w:val="15"/>
              </w:rPr>
              <w:t>4</w:t>
            </w:r>
          </w:p>
        </w:tc>
        <w:tc>
          <w:tcPr>
            <w:tcW w:w="459" w:type="dxa"/>
          </w:tcPr>
          <w:p>
            <w:pPr>
              <w:pStyle w:val="TableParagraph"/>
              <w:spacing w:line="240" w:lineRule="auto" w:before="19"/>
              <w:ind w:right="69"/>
              <w:jc w:val="right"/>
              <w:rPr>
                <w:rFonts w:ascii="Times New Roman"/>
                <w:sz w:val="15"/>
              </w:rPr>
            </w:pPr>
            <w:r>
              <w:rPr>
                <w:rFonts w:ascii="Times New Roman"/>
                <w:color w:val="231F20"/>
                <w:w w:val="95"/>
                <w:sz w:val="15"/>
              </w:rPr>
              <w:t>0.33</w:t>
            </w:r>
          </w:p>
        </w:tc>
        <w:tc>
          <w:tcPr>
            <w:tcW w:w="491" w:type="dxa"/>
          </w:tcPr>
          <w:p>
            <w:pPr>
              <w:pStyle w:val="TableParagraph"/>
              <w:spacing w:line="240" w:lineRule="auto" w:before="19"/>
              <w:ind w:right="85"/>
              <w:jc w:val="right"/>
              <w:rPr>
                <w:rFonts w:ascii="Times New Roman"/>
                <w:sz w:val="15"/>
              </w:rPr>
            </w:pPr>
            <w:r>
              <w:rPr>
                <w:rFonts w:ascii="Times New Roman"/>
                <w:color w:val="231F20"/>
                <w:w w:val="95"/>
                <w:sz w:val="15"/>
              </w:rPr>
              <w:t>5.4</w:t>
            </w:r>
          </w:p>
        </w:tc>
        <w:tc>
          <w:tcPr>
            <w:tcW w:w="494" w:type="dxa"/>
          </w:tcPr>
          <w:p>
            <w:pPr>
              <w:pStyle w:val="TableParagraph"/>
              <w:spacing w:line="240" w:lineRule="auto" w:before="19"/>
              <w:ind w:right="106"/>
              <w:jc w:val="right"/>
              <w:rPr>
                <w:rFonts w:ascii="Times New Roman"/>
                <w:sz w:val="15"/>
              </w:rPr>
            </w:pPr>
            <w:r>
              <w:rPr>
                <w:rFonts w:ascii="Times New Roman"/>
                <w:color w:val="231F20"/>
                <w:w w:val="95"/>
                <w:sz w:val="15"/>
              </w:rPr>
              <w:t>2.2</w:t>
            </w: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998</w:t>
            </w:r>
          </w:p>
        </w:tc>
        <w:tc>
          <w:tcPr>
            <w:tcW w:w="438" w:type="dxa"/>
          </w:tcPr>
          <w:p>
            <w:pPr>
              <w:pStyle w:val="TableParagraph"/>
              <w:spacing w:line="240" w:lineRule="auto" w:before="19"/>
              <w:ind w:left="77" w:right="48"/>
              <w:jc w:val="center"/>
              <w:rPr>
                <w:rFonts w:ascii="Times New Roman"/>
                <w:sz w:val="15"/>
              </w:rPr>
            </w:pPr>
            <w:r>
              <w:rPr>
                <w:rFonts w:ascii="Times New Roman"/>
                <w:color w:val="231F20"/>
                <w:sz w:val="15"/>
              </w:rPr>
              <w:t>26.4</w:t>
            </w:r>
          </w:p>
        </w:tc>
        <w:tc>
          <w:tcPr>
            <w:tcW w:w="1203" w:type="dxa"/>
          </w:tcPr>
          <w:p>
            <w:pPr>
              <w:pStyle w:val="TableParagraph"/>
              <w:spacing w:line="240" w:lineRule="auto" w:before="19"/>
              <w:ind w:left="44" w:right="91"/>
              <w:jc w:val="center"/>
              <w:rPr>
                <w:rFonts w:ascii="Times New Roman"/>
                <w:sz w:val="15"/>
              </w:rPr>
            </w:pPr>
            <w:r>
              <w:rPr>
                <w:rFonts w:ascii="Times New Roman"/>
                <w:color w:val="231F20"/>
                <w:sz w:val="15"/>
              </w:rPr>
              <w:t>Jurassic</w:t>
            </w:r>
          </w:p>
        </w:tc>
      </w:tr>
      <w:tr>
        <w:trPr>
          <w:trHeight w:val="217" w:hRule="atLeast"/>
        </w:trPr>
        <w:tc>
          <w:tcPr>
            <w:tcW w:w="1812" w:type="dxa"/>
          </w:tcPr>
          <w:p>
            <w:pPr>
              <w:pStyle w:val="TableParagraph"/>
              <w:spacing w:line="240" w:lineRule="auto" w:before="19"/>
              <w:ind w:left="26"/>
              <w:rPr>
                <w:rFonts w:ascii="Times New Roman"/>
                <w:sz w:val="15"/>
              </w:rPr>
            </w:pPr>
            <w:r>
              <w:rPr>
                <w:rFonts w:ascii="Times New Roman"/>
                <w:color w:val="231F20"/>
                <w:sz w:val="15"/>
              </w:rPr>
              <w:t>Bell Allard</w:t>
            </w:r>
          </w:p>
        </w:tc>
        <w:tc>
          <w:tcPr>
            <w:tcW w:w="2252" w:type="dxa"/>
          </w:tcPr>
          <w:p>
            <w:pPr>
              <w:pStyle w:val="TableParagraph"/>
              <w:spacing w:line="240" w:lineRule="auto" w:before="19"/>
              <w:ind w:left="118"/>
              <w:rPr>
                <w:rFonts w:ascii="Times New Roman"/>
                <w:sz w:val="15"/>
              </w:rPr>
            </w:pPr>
            <w:r>
              <w:rPr>
                <w:rFonts w:ascii="Times New Roman"/>
                <w:color w:val="231F20"/>
                <w:sz w:val="15"/>
              </w:rPr>
              <w:t>Abitibi, Quebec</w:t>
            </w:r>
          </w:p>
        </w:tc>
        <w:tc>
          <w:tcPr>
            <w:tcW w:w="959" w:type="dxa"/>
          </w:tcPr>
          <w:p>
            <w:pPr>
              <w:pStyle w:val="TableParagraph"/>
              <w:spacing w:line="240" w:lineRule="auto" w:before="19"/>
              <w:ind w:right="82"/>
              <w:jc w:val="right"/>
              <w:rPr>
                <w:rFonts w:ascii="Times New Roman"/>
                <w:sz w:val="15"/>
              </w:rPr>
            </w:pPr>
            <w:r>
              <w:rPr>
                <w:rFonts w:ascii="Times New Roman"/>
                <w:color w:val="231F20"/>
                <w:w w:val="95"/>
                <w:sz w:val="15"/>
              </w:rPr>
              <w:t>3.2</w:t>
            </w:r>
          </w:p>
        </w:tc>
        <w:tc>
          <w:tcPr>
            <w:tcW w:w="459" w:type="dxa"/>
          </w:tcPr>
          <w:p>
            <w:pPr>
              <w:pStyle w:val="TableParagraph"/>
              <w:spacing w:line="240" w:lineRule="auto" w:before="19"/>
              <w:ind w:right="68"/>
              <w:jc w:val="right"/>
              <w:rPr>
                <w:rFonts w:ascii="Times New Roman"/>
                <w:sz w:val="15"/>
              </w:rPr>
            </w:pPr>
            <w:r>
              <w:rPr>
                <w:rFonts w:ascii="Times New Roman"/>
                <w:color w:val="231F20"/>
                <w:w w:val="95"/>
                <w:sz w:val="15"/>
              </w:rPr>
              <w:t>1.5</w:t>
            </w:r>
          </w:p>
        </w:tc>
        <w:tc>
          <w:tcPr>
            <w:tcW w:w="491" w:type="dxa"/>
          </w:tcPr>
          <w:p>
            <w:pPr>
              <w:pStyle w:val="TableParagraph"/>
              <w:spacing w:line="240" w:lineRule="auto" w:before="19"/>
              <w:ind w:right="87"/>
              <w:jc w:val="right"/>
              <w:rPr>
                <w:rFonts w:ascii="Times New Roman"/>
                <w:sz w:val="15"/>
              </w:rPr>
            </w:pPr>
            <w:r>
              <w:rPr>
                <w:rFonts w:ascii="Times New Roman"/>
                <w:color w:val="231F20"/>
                <w:w w:val="95"/>
                <w:sz w:val="15"/>
              </w:rPr>
              <w:t>13.77</w:t>
            </w:r>
          </w:p>
        </w:tc>
        <w:tc>
          <w:tcPr>
            <w:tcW w:w="494" w:type="dxa"/>
          </w:tcPr>
          <w:p>
            <w:pPr>
              <w:pStyle w:val="TableParagraph"/>
              <w:spacing w:line="240" w:lineRule="auto" w:before="0"/>
              <w:rPr>
                <w:rFonts w:ascii="Times New Roman"/>
                <w:sz w:val="14"/>
              </w:rPr>
            </w:pPr>
          </w:p>
        </w:tc>
        <w:tc>
          <w:tcPr>
            <w:tcW w:w="473" w:type="dxa"/>
          </w:tcPr>
          <w:p>
            <w:pPr>
              <w:pStyle w:val="TableParagraph"/>
              <w:spacing w:line="240" w:lineRule="auto" w:before="19"/>
              <w:ind w:right="107"/>
              <w:jc w:val="right"/>
              <w:rPr>
                <w:rFonts w:ascii="Times New Roman"/>
                <w:sz w:val="15"/>
              </w:rPr>
            </w:pPr>
            <w:r>
              <w:rPr>
                <w:rFonts w:ascii="Times New Roman"/>
                <w:color w:val="231F20"/>
                <w:w w:val="95"/>
                <w:sz w:val="15"/>
              </w:rPr>
              <w:t>43.5</w:t>
            </w:r>
          </w:p>
        </w:tc>
        <w:tc>
          <w:tcPr>
            <w:tcW w:w="438" w:type="dxa"/>
          </w:tcPr>
          <w:p>
            <w:pPr>
              <w:pStyle w:val="TableParagraph"/>
              <w:spacing w:line="240" w:lineRule="auto" w:before="19"/>
              <w:ind w:left="77" w:right="48"/>
              <w:jc w:val="center"/>
              <w:rPr>
                <w:rFonts w:ascii="Times New Roman"/>
                <w:sz w:val="15"/>
              </w:rPr>
            </w:pPr>
            <w:r>
              <w:rPr>
                <w:rFonts w:ascii="Times New Roman"/>
                <w:color w:val="231F20"/>
                <w:sz w:val="15"/>
              </w:rPr>
              <w:t>0.76</w:t>
            </w:r>
          </w:p>
        </w:tc>
        <w:tc>
          <w:tcPr>
            <w:tcW w:w="1203" w:type="dxa"/>
          </w:tcPr>
          <w:p>
            <w:pPr>
              <w:pStyle w:val="TableParagraph"/>
              <w:spacing w:line="240" w:lineRule="auto" w:before="19"/>
              <w:ind w:left="44" w:right="87"/>
              <w:jc w:val="center"/>
              <w:rPr>
                <w:rFonts w:ascii="Times New Roman"/>
                <w:sz w:val="15"/>
              </w:rPr>
            </w:pPr>
            <w:r>
              <w:rPr>
                <w:rFonts w:ascii="Times New Roman"/>
                <w:color w:val="231F20"/>
                <w:sz w:val="15"/>
              </w:rPr>
              <w:t>Archean</w:t>
            </w:r>
          </w:p>
        </w:tc>
      </w:tr>
      <w:tr>
        <w:trPr>
          <w:trHeight w:val="217" w:hRule="atLeast"/>
        </w:trPr>
        <w:tc>
          <w:tcPr>
            <w:tcW w:w="1812" w:type="dxa"/>
          </w:tcPr>
          <w:p>
            <w:pPr>
              <w:pStyle w:val="TableParagraph"/>
              <w:spacing w:line="240" w:lineRule="auto" w:before="19"/>
              <w:ind w:left="25"/>
              <w:rPr>
                <w:rFonts w:ascii="Times New Roman"/>
                <w:sz w:val="15"/>
              </w:rPr>
            </w:pPr>
            <w:r>
              <w:rPr>
                <w:rFonts w:ascii="Times New Roman"/>
                <w:color w:val="231F20"/>
                <w:sz w:val="15"/>
              </w:rPr>
              <w:t>Chisel North</w:t>
            </w:r>
          </w:p>
        </w:tc>
        <w:tc>
          <w:tcPr>
            <w:tcW w:w="2252" w:type="dxa"/>
          </w:tcPr>
          <w:p>
            <w:pPr>
              <w:pStyle w:val="TableParagraph"/>
              <w:spacing w:line="240" w:lineRule="auto" w:before="19"/>
              <w:ind w:left="118"/>
              <w:rPr>
                <w:rFonts w:ascii="Times New Roman"/>
                <w:sz w:val="15"/>
              </w:rPr>
            </w:pPr>
            <w:r>
              <w:rPr>
                <w:rFonts w:ascii="Times New Roman"/>
                <w:color w:val="231F20"/>
                <w:sz w:val="15"/>
              </w:rPr>
              <w:t>Trans-Hudson Orogen, Manitoba</w:t>
            </w:r>
          </w:p>
        </w:tc>
        <w:tc>
          <w:tcPr>
            <w:tcW w:w="959" w:type="dxa"/>
          </w:tcPr>
          <w:p>
            <w:pPr>
              <w:pStyle w:val="TableParagraph"/>
              <w:spacing w:line="240" w:lineRule="auto" w:before="19"/>
              <w:ind w:right="83"/>
              <w:jc w:val="right"/>
              <w:rPr>
                <w:rFonts w:ascii="Times New Roman"/>
                <w:sz w:val="15"/>
              </w:rPr>
            </w:pPr>
            <w:r>
              <w:rPr>
                <w:rFonts w:ascii="Times New Roman"/>
                <w:color w:val="231F20"/>
                <w:w w:val="95"/>
                <w:sz w:val="15"/>
              </w:rPr>
              <w:t>2.8</w:t>
            </w:r>
          </w:p>
        </w:tc>
        <w:tc>
          <w:tcPr>
            <w:tcW w:w="459" w:type="dxa"/>
          </w:tcPr>
          <w:p>
            <w:pPr>
              <w:pStyle w:val="TableParagraph"/>
              <w:spacing w:line="240" w:lineRule="auto" w:before="19"/>
              <w:ind w:right="69"/>
              <w:jc w:val="right"/>
              <w:rPr>
                <w:rFonts w:ascii="Times New Roman"/>
                <w:sz w:val="15"/>
              </w:rPr>
            </w:pPr>
            <w:r>
              <w:rPr>
                <w:rFonts w:ascii="Times New Roman"/>
                <w:color w:val="231F20"/>
                <w:w w:val="95"/>
                <w:sz w:val="15"/>
              </w:rPr>
              <w:t>0.15</w:t>
            </w:r>
          </w:p>
        </w:tc>
        <w:tc>
          <w:tcPr>
            <w:tcW w:w="491" w:type="dxa"/>
          </w:tcPr>
          <w:p>
            <w:pPr>
              <w:pStyle w:val="TableParagraph"/>
              <w:spacing w:line="240" w:lineRule="auto" w:before="19"/>
              <w:ind w:right="87"/>
              <w:jc w:val="right"/>
              <w:rPr>
                <w:rFonts w:ascii="Times New Roman"/>
                <w:sz w:val="15"/>
              </w:rPr>
            </w:pPr>
            <w:r>
              <w:rPr>
                <w:rFonts w:ascii="Times New Roman"/>
                <w:color w:val="231F20"/>
                <w:w w:val="95"/>
                <w:sz w:val="15"/>
              </w:rPr>
              <w:t>9.36</w:t>
            </w:r>
          </w:p>
        </w:tc>
        <w:tc>
          <w:tcPr>
            <w:tcW w:w="494" w:type="dxa"/>
          </w:tcPr>
          <w:p>
            <w:pPr>
              <w:pStyle w:val="TableParagraph"/>
              <w:spacing w:line="240" w:lineRule="auto" w:before="19"/>
              <w:ind w:right="106"/>
              <w:jc w:val="right"/>
              <w:rPr>
                <w:rFonts w:ascii="Times New Roman"/>
                <w:sz w:val="15"/>
              </w:rPr>
            </w:pPr>
            <w:r>
              <w:rPr>
                <w:rFonts w:ascii="Times New Roman"/>
                <w:color w:val="231F20"/>
                <w:w w:val="95"/>
                <w:sz w:val="15"/>
              </w:rPr>
              <w:t>0.4</w:t>
            </w:r>
          </w:p>
        </w:tc>
        <w:tc>
          <w:tcPr>
            <w:tcW w:w="473" w:type="dxa"/>
          </w:tcPr>
          <w:p>
            <w:pPr>
              <w:pStyle w:val="TableParagraph"/>
              <w:spacing w:line="240" w:lineRule="auto" w:before="19"/>
              <w:ind w:right="106"/>
              <w:jc w:val="right"/>
              <w:rPr>
                <w:rFonts w:ascii="Times New Roman"/>
                <w:sz w:val="15"/>
              </w:rPr>
            </w:pPr>
            <w:r>
              <w:rPr>
                <w:rFonts w:ascii="Times New Roman"/>
                <w:color w:val="231F20"/>
                <w:w w:val="95"/>
                <w:sz w:val="15"/>
              </w:rPr>
              <w:t>22</w:t>
            </w:r>
          </w:p>
        </w:tc>
        <w:tc>
          <w:tcPr>
            <w:tcW w:w="438" w:type="dxa"/>
          </w:tcPr>
          <w:p>
            <w:pPr>
              <w:pStyle w:val="TableParagraph"/>
              <w:spacing w:line="240" w:lineRule="auto" w:before="19"/>
              <w:ind w:left="153" w:right="48"/>
              <w:jc w:val="center"/>
              <w:rPr>
                <w:rFonts w:ascii="Times New Roman"/>
                <w:sz w:val="15"/>
              </w:rPr>
            </w:pPr>
            <w:r>
              <w:rPr>
                <w:rFonts w:ascii="Times New Roman"/>
                <w:color w:val="231F20"/>
                <w:sz w:val="15"/>
              </w:rPr>
              <w:t>0.4</w:t>
            </w:r>
          </w:p>
        </w:tc>
        <w:tc>
          <w:tcPr>
            <w:tcW w:w="1203" w:type="dxa"/>
          </w:tcPr>
          <w:p>
            <w:pPr>
              <w:pStyle w:val="TableParagraph"/>
              <w:spacing w:line="240" w:lineRule="auto" w:before="19"/>
              <w:ind w:left="44" w:right="99"/>
              <w:jc w:val="center"/>
              <w:rPr>
                <w:rFonts w:ascii="Times New Roman"/>
                <w:sz w:val="15"/>
              </w:rPr>
            </w:pPr>
            <w:r>
              <w:rPr>
                <w:rFonts w:ascii="Times New Roman"/>
                <w:color w:val="231F20"/>
                <w:sz w:val="15"/>
              </w:rPr>
              <w:t>Paleoproterozic</w:t>
            </w:r>
          </w:p>
        </w:tc>
      </w:tr>
      <w:tr>
        <w:trPr>
          <w:trHeight w:val="207" w:hRule="atLeast"/>
        </w:trPr>
        <w:tc>
          <w:tcPr>
            <w:tcW w:w="1812" w:type="dxa"/>
            <w:tcBorders>
              <w:bottom w:val="single" w:sz="6" w:space="0" w:color="231F20"/>
            </w:tcBorders>
          </w:tcPr>
          <w:p>
            <w:pPr>
              <w:pStyle w:val="TableParagraph"/>
              <w:spacing w:line="168" w:lineRule="exact" w:before="19"/>
              <w:ind w:left="25"/>
              <w:rPr>
                <w:rFonts w:ascii="Times New Roman"/>
                <w:sz w:val="15"/>
              </w:rPr>
            </w:pPr>
            <w:r>
              <w:rPr>
                <w:rFonts w:ascii="Times New Roman"/>
                <w:color w:val="231F20"/>
                <w:sz w:val="15"/>
              </w:rPr>
              <w:t>Konuto</w:t>
            </w:r>
          </w:p>
        </w:tc>
        <w:tc>
          <w:tcPr>
            <w:tcW w:w="2252" w:type="dxa"/>
            <w:tcBorders>
              <w:bottom w:val="single" w:sz="6" w:space="0" w:color="231F20"/>
            </w:tcBorders>
          </w:tcPr>
          <w:p>
            <w:pPr>
              <w:pStyle w:val="TableParagraph"/>
              <w:spacing w:line="168" w:lineRule="exact" w:before="19"/>
              <w:ind w:left="118"/>
              <w:rPr>
                <w:rFonts w:ascii="Times New Roman"/>
                <w:sz w:val="15"/>
              </w:rPr>
            </w:pPr>
            <w:r>
              <w:rPr>
                <w:rFonts w:ascii="Times New Roman"/>
                <w:color w:val="231F20"/>
                <w:sz w:val="15"/>
              </w:rPr>
              <w:t>Trans-Hudson Orogen,</w:t>
            </w:r>
          </w:p>
        </w:tc>
        <w:tc>
          <w:tcPr>
            <w:tcW w:w="959" w:type="dxa"/>
            <w:tcBorders>
              <w:bottom w:val="single" w:sz="6" w:space="0" w:color="231F20"/>
            </w:tcBorders>
          </w:tcPr>
          <w:p>
            <w:pPr>
              <w:pStyle w:val="TableParagraph"/>
              <w:spacing w:line="168" w:lineRule="exact" w:before="19"/>
              <w:ind w:right="84"/>
              <w:jc w:val="right"/>
              <w:rPr>
                <w:rFonts w:ascii="Times New Roman"/>
                <w:sz w:val="15"/>
              </w:rPr>
            </w:pPr>
            <w:r>
              <w:rPr>
                <w:rFonts w:ascii="Times New Roman"/>
                <w:color w:val="231F20"/>
                <w:w w:val="95"/>
                <w:sz w:val="15"/>
              </w:rPr>
              <w:t>1.28</w:t>
            </w:r>
          </w:p>
        </w:tc>
        <w:tc>
          <w:tcPr>
            <w:tcW w:w="459" w:type="dxa"/>
            <w:tcBorders>
              <w:bottom w:val="single" w:sz="6" w:space="0" w:color="231F20"/>
            </w:tcBorders>
          </w:tcPr>
          <w:p>
            <w:pPr>
              <w:pStyle w:val="TableParagraph"/>
              <w:spacing w:line="168" w:lineRule="exact" w:before="19"/>
              <w:ind w:right="69"/>
              <w:jc w:val="right"/>
              <w:rPr>
                <w:rFonts w:ascii="Times New Roman"/>
                <w:sz w:val="15"/>
              </w:rPr>
            </w:pPr>
            <w:r>
              <w:rPr>
                <w:rFonts w:ascii="Times New Roman"/>
                <w:color w:val="231F20"/>
                <w:w w:val="95"/>
                <w:sz w:val="15"/>
              </w:rPr>
              <w:t>5.27</w:t>
            </w:r>
          </w:p>
        </w:tc>
        <w:tc>
          <w:tcPr>
            <w:tcW w:w="491" w:type="dxa"/>
            <w:tcBorders>
              <w:bottom w:val="single" w:sz="6" w:space="0" w:color="231F20"/>
            </w:tcBorders>
          </w:tcPr>
          <w:p>
            <w:pPr>
              <w:pStyle w:val="TableParagraph"/>
              <w:spacing w:line="168" w:lineRule="exact" w:before="19"/>
              <w:ind w:right="87"/>
              <w:jc w:val="right"/>
              <w:rPr>
                <w:rFonts w:ascii="Times New Roman"/>
                <w:sz w:val="15"/>
              </w:rPr>
            </w:pPr>
            <w:r>
              <w:rPr>
                <w:rFonts w:ascii="Times New Roman"/>
                <w:color w:val="231F20"/>
                <w:w w:val="95"/>
                <w:sz w:val="15"/>
              </w:rPr>
              <w:t>1.44</w:t>
            </w:r>
          </w:p>
        </w:tc>
        <w:tc>
          <w:tcPr>
            <w:tcW w:w="494" w:type="dxa"/>
            <w:tcBorders>
              <w:bottom w:val="single" w:sz="6" w:space="0" w:color="231F20"/>
            </w:tcBorders>
          </w:tcPr>
          <w:p>
            <w:pPr>
              <w:pStyle w:val="TableParagraph"/>
              <w:spacing w:line="240" w:lineRule="auto" w:before="0"/>
              <w:rPr>
                <w:rFonts w:ascii="Times New Roman"/>
                <w:sz w:val="14"/>
              </w:rPr>
            </w:pPr>
          </w:p>
        </w:tc>
        <w:tc>
          <w:tcPr>
            <w:tcW w:w="473" w:type="dxa"/>
            <w:tcBorders>
              <w:bottom w:val="single" w:sz="6" w:space="0" w:color="231F20"/>
            </w:tcBorders>
          </w:tcPr>
          <w:p>
            <w:pPr>
              <w:pStyle w:val="TableParagraph"/>
              <w:spacing w:line="168" w:lineRule="exact" w:before="19"/>
              <w:ind w:right="107"/>
              <w:jc w:val="right"/>
              <w:rPr>
                <w:rFonts w:ascii="Times New Roman"/>
                <w:sz w:val="15"/>
              </w:rPr>
            </w:pPr>
            <w:r>
              <w:rPr>
                <w:rFonts w:ascii="Times New Roman"/>
                <w:color w:val="231F20"/>
                <w:w w:val="95"/>
                <w:sz w:val="15"/>
              </w:rPr>
              <w:t>10.6</w:t>
            </w:r>
          </w:p>
        </w:tc>
        <w:tc>
          <w:tcPr>
            <w:tcW w:w="438" w:type="dxa"/>
            <w:tcBorders>
              <w:bottom w:val="single" w:sz="6" w:space="0" w:color="231F20"/>
            </w:tcBorders>
          </w:tcPr>
          <w:p>
            <w:pPr>
              <w:pStyle w:val="TableParagraph"/>
              <w:spacing w:line="168" w:lineRule="exact" w:before="19"/>
              <w:ind w:left="75" w:right="48"/>
              <w:jc w:val="center"/>
              <w:rPr>
                <w:rFonts w:ascii="Times New Roman"/>
                <w:sz w:val="15"/>
              </w:rPr>
            </w:pPr>
            <w:r>
              <w:rPr>
                <w:rFonts w:ascii="Times New Roman"/>
                <w:color w:val="231F20"/>
                <w:sz w:val="15"/>
              </w:rPr>
              <w:t>2.09</w:t>
            </w:r>
          </w:p>
        </w:tc>
        <w:tc>
          <w:tcPr>
            <w:tcW w:w="1203" w:type="dxa"/>
            <w:tcBorders>
              <w:bottom w:val="single" w:sz="6" w:space="0" w:color="231F20"/>
            </w:tcBorders>
          </w:tcPr>
          <w:p>
            <w:pPr>
              <w:pStyle w:val="TableParagraph"/>
              <w:spacing w:line="168" w:lineRule="exact" w:before="19"/>
              <w:ind w:left="44" w:right="101"/>
              <w:jc w:val="center"/>
              <w:rPr>
                <w:rFonts w:ascii="Times New Roman"/>
                <w:sz w:val="15"/>
              </w:rPr>
            </w:pPr>
            <w:r>
              <w:rPr>
                <w:rFonts w:ascii="Times New Roman"/>
                <w:color w:val="231F20"/>
                <w:sz w:val="15"/>
              </w:rPr>
              <w:t>Paleoproterozoic</w:t>
            </w:r>
          </w:p>
        </w:tc>
      </w:tr>
    </w:tbl>
    <w:p>
      <w:pPr>
        <w:spacing w:before="0"/>
        <w:ind w:left="1856" w:right="0" w:firstLine="0"/>
        <w:jc w:val="left"/>
        <w:rPr>
          <w:sz w:val="15"/>
        </w:rPr>
      </w:pPr>
      <w:r>
        <w:rPr>
          <w:color w:val="231F20"/>
          <w:sz w:val="15"/>
        </w:rPr>
        <w:t>* In preproduction ( 2006)</w:t>
      </w:r>
    </w:p>
    <w:p>
      <w:pPr>
        <w:pStyle w:val="ListParagraph"/>
        <w:numPr>
          <w:ilvl w:val="2"/>
          <w:numId w:val="2"/>
        </w:numPr>
        <w:tabs>
          <w:tab w:pos="2069" w:val="left" w:leader="none"/>
        </w:tabs>
        <w:spacing w:line="240" w:lineRule="auto" w:before="14" w:after="0"/>
        <w:ind w:left="2068" w:right="0" w:hanging="212"/>
        <w:jc w:val="left"/>
        <w:rPr>
          <w:sz w:val="15"/>
        </w:rPr>
      </w:pPr>
      <w:r>
        <w:rPr>
          <w:color w:val="231F20"/>
          <w:sz w:val="15"/>
        </w:rPr>
        <w:t>Includes production and estimated reserves where</w:t>
      </w:r>
      <w:r>
        <w:rPr>
          <w:color w:val="231F20"/>
          <w:spacing w:val="-7"/>
          <w:sz w:val="15"/>
        </w:rPr>
        <w:t> </w:t>
      </w:r>
      <w:r>
        <w:rPr>
          <w:color w:val="231F20"/>
          <w:sz w:val="15"/>
        </w:rPr>
        <w:t>applicable.</w:t>
      </w:r>
    </w:p>
    <w:p>
      <w:pPr>
        <w:spacing w:after="0" w:line="240" w:lineRule="auto"/>
        <w:jc w:val="left"/>
        <w:rPr>
          <w:sz w:val="15"/>
        </w:rPr>
        <w:sectPr>
          <w:pgSz w:w="12240" w:h="15840"/>
          <w:pgMar w:header="673" w:footer="779" w:top="1000" w:bottom="960" w:left="0" w:right="0"/>
        </w:sectPr>
      </w:pPr>
    </w:p>
    <w:p>
      <w:pPr>
        <w:pStyle w:val="BodyText"/>
        <w:spacing w:before="2"/>
        <w:rPr>
          <w:sz w:val="17"/>
        </w:rPr>
      </w:pPr>
    </w:p>
    <w:p>
      <w:pPr>
        <w:spacing w:before="0"/>
        <w:ind w:left="1339" w:right="0" w:firstLine="0"/>
        <w:jc w:val="left"/>
        <w:rPr>
          <w:rFonts w:ascii="Arial"/>
          <w:sz w:val="11"/>
        </w:rPr>
      </w:pPr>
      <w:r>
        <w:rPr/>
        <w:pict>
          <v:group style="position:absolute;margin-left:74.870003pt;margin-top:2.633241pt;width:220.2pt;height:116.1pt;mso-position-horizontal-relative:page;mso-position-vertical-relative:paragraph;z-index:-179632" coordorigin="1497,53" coordsize="4404,2322">
            <v:rect style="position:absolute;left:1526;top:56;width:4364;height:2280" filled="false" stroked="true" strokeweight=".361pt" strokecolor="#231f20">
              <v:stroke dashstyle="solid"/>
            </v:rect>
            <v:shape style="position:absolute;left:-32;top:14631;width:4395;height:2317" coordorigin="-31,14632" coordsize="4395,2317" path="m1529,57l5533,57m1529,57l1529,2337m1497,2337l1529,2337m1497,2013l1529,2013m1497,1682l1529,1682m1497,1359l1529,1359m1497,1035l1529,1035m1497,712l1529,712m1497,380l1529,380m1497,57l1529,57m1529,2337l5891,2336m1529,2368l1529,2337m2120,2374l2120,2343m1711,2370l1711,2339e" filled="false" stroked="true" strokeweight=".361pt" strokecolor="#231f20">
              <v:path arrowok="t"/>
              <v:stroke dashstyle="solid"/>
            </v:shape>
            <v:line style="position:absolute" from="1708,2338" to="1715,2338" stroked="true" strokeweight=".084pt" strokecolor="#231f20">
              <v:stroke dashstyle="solid"/>
            </v:line>
            <v:shape style="position:absolute;left:1000;top:16912;width:2768;height:38" coordorigin="1001,16912" coordsize="2768,38" path="m2530,2368l2530,2337m3727,2374l3727,2343m2931,2368l2931,2337m4128,2374l4128,2343m3332,2368l3332,2337m5297,2370l5297,2339m4127,2368l4127,2337e" filled="false" stroked="true" strokeweight=".361pt" strokecolor="#231f20">
              <v:path arrowok="t"/>
              <v:stroke dashstyle="solid"/>
            </v:shape>
            <v:line style="position:absolute" from="2116,2338" to="2123,2338" stroked="true" strokeweight=".078pt" strokecolor="#231f20">
              <v:stroke dashstyle="solid"/>
            </v:line>
            <v:line style="position:absolute" from="4528,2368" to="4528,2337" stroked="true" strokeweight=".361pt" strokecolor="#231f20">
              <v:stroke dashstyle="solid"/>
            </v:line>
            <v:line style="position:absolute" from="4924,2337" to="4924,2362" stroked="true" strokeweight=".361pt" strokecolor="#231f20">
              <v:stroke dashstyle="solid"/>
            </v:line>
            <v:line style="position:absolute" from="4924,2368" to="4924,2337" stroked="true" strokeweight=".361pt" strokecolor="#231f20">
              <v:stroke dashstyle="solid"/>
            </v:line>
            <v:line style="position:absolute" from="4524,2337" to="4524,2362" stroked="true" strokeweight=".361pt" strokecolor="#231f20">
              <v:stroke dashstyle="solid"/>
            </v:line>
            <v:line style="position:absolute" from="5724,2368" to="5724,2337" stroked="true" strokeweight=".361pt" strokecolor="#231f20">
              <v:stroke dashstyle="solid"/>
            </v:line>
            <v:shape style="position:absolute;left:3703;top:1796;width:48;height:47" coordorigin="3703,1797" coordsize="48,47" path="m3727,1797l3703,1820,3727,1843,3750,1820,3727,1797xe" filled="true" fillcolor="#504b72" stroked="false">
              <v:path arrowok="t"/>
              <v:fill type="solid"/>
            </v:shape>
            <v:shape style="position:absolute;left:3703;top:1796;width:48;height:47" coordorigin="3703,1797" coordsize="48,47" path="m3727,1797l3750,1820,3727,1843,3703,1820,3727,1797xe" filled="false" stroked="true" strokeweight=".522pt" strokecolor="#504b72">
              <v:path arrowok="t"/>
              <v:stroke dashstyle="solid"/>
            </v:shape>
            <v:rect style="position:absolute;left:3104;top:1534;width:408;height:799" filled="false" stroked="true" strokeweight=".361pt" strokecolor="#231f20">
              <v:stroke dashstyle="solid"/>
            </v:rect>
            <v:rect style="position:absolute;left:2705;top:1423;width:407;height:909" filled="true" fillcolor="#a7a9ac" stroked="false">
              <v:fill type="solid"/>
            </v:rect>
            <v:rect style="position:absolute;left:2700;top:1423;width:412;height:909" filled="false" stroked="true" strokeweight=".361pt" strokecolor="#231f20">
              <v:stroke dashstyle="solid"/>
            </v:rect>
            <v:rect style="position:absolute;left:1529;top:371;width:405;height:1965" filled="true" fillcolor="#a7a9ac" stroked="false">
              <v:fill type="solid"/>
            </v:rect>
            <v:rect style="position:absolute;left:1529;top:371;width:405;height:1965" filled="false" stroked="true" strokeweight=".361pt" strokecolor="#231f20">
              <v:stroke dashstyle="solid"/>
            </v:rect>
            <v:rect style="position:absolute;left:3513;top:1786;width:397;height:545" filled="true" fillcolor="#a7a9ac" stroked="false">
              <v:fill type="solid"/>
            </v:rect>
            <v:shape style="position:absolute;left:3513;top:1786;width:794;height:545" coordorigin="3514,1787" coordsize="794,545" path="m3514,1787l3910,1787,3910,2331,3514,2331,3514,1787xm3911,1953l4308,1953,4308,2331,3911,2331,3911,1953xe" filled="false" stroked="true" strokeweight=".361pt" strokecolor="#231f20">
              <v:path arrowok="t"/>
              <v:stroke dashstyle="solid"/>
            </v:shape>
            <v:line style="position:absolute" from="4707,2289" to="5104,2289" stroked="true" strokeweight="4.764pt" strokecolor="#a7a9ac">
              <v:stroke dashstyle="solid"/>
            </v:line>
            <v:rect style="position:absolute;left:4707;top:2241;width:397;height:96" filled="false" stroked="true" strokeweight=".361pt" strokecolor="#231f20">
              <v:stroke dashstyle="solid"/>
            </v:rect>
            <v:rect style="position:absolute;left:5500;top:2313;width:397;height:23" filled="true" fillcolor="#a7a9ac" stroked="false">
              <v:fill type="solid"/>
            </v:rect>
            <v:rect style="position:absolute;left:5497;top:2309;width:404;height:30" filled="true" fillcolor="#231f20" stroked="false">
              <v:fill type="solid"/>
            </v:rect>
            <v:rect style="position:absolute;left:5103;top:2309;width:397;height:28" filled="true" fillcolor="#a7a9ac" stroked="false">
              <v:fill type="solid"/>
            </v:rect>
            <v:rect style="position:absolute;left:5100;top:2306;width:404;height:35" filled="true" fillcolor="#231f20" stroked="false">
              <v:fill type="solid"/>
            </v:rect>
            <v:rect style="position:absolute;left:2329;top:998;width:376;height:1337" filled="true" fillcolor="#a7a9ac" stroked="false">
              <v:fill type="solid"/>
            </v:rect>
            <v:rect style="position:absolute;left:2315;top:998;width:390;height:1337" filled="false" stroked="true" strokeweight=".361pt" strokecolor="#231f20">
              <v:stroke dashstyle="solid"/>
            </v:rect>
            <v:rect style="position:absolute;left:1933;top:564;width:397;height:1773" filled="true" fillcolor="#a7a9ac" stroked="false">
              <v:fill type="solid"/>
            </v:rect>
            <v:rect style="position:absolute;left:1933;top:564;width:397;height:1773" filled="false" stroked="true" strokeweight=".361pt" strokecolor="#231f20">
              <v:stroke dashstyle="solid"/>
            </v:rect>
            <v:shape style="position:absolute;left:4892;top:2133;width:86;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7"/>
                        <w:sz w:val="11"/>
                      </w:rPr>
                      <w:t>7</w:t>
                    </w:r>
                  </w:p>
                </w:txbxContent>
              </v:textbox>
              <w10:wrap type="none"/>
            </v:shape>
            <v:shape style="position:absolute;left:4307;top:2225;width:399;height:112" type="#_x0000_t202" filled="true" fillcolor="#a7a9ac" stroked="true" strokeweight=".435pt" strokecolor="#231f20">
              <v:textbox inset="0,0,0,0">
                <w:txbxContent>
                  <w:p>
                    <w:pPr>
                      <w:spacing w:line="103" w:lineRule="exact" w:before="0"/>
                      <w:ind w:left="34" w:right="0" w:firstLine="0"/>
                      <w:jc w:val="center"/>
                      <w:rPr>
                        <w:rFonts w:ascii="Arial"/>
                        <w:b/>
                        <w:sz w:val="11"/>
                      </w:rPr>
                    </w:pPr>
                    <w:r>
                      <w:rPr>
                        <w:rFonts w:ascii="Arial"/>
                        <w:b/>
                        <w:color w:val="231F20"/>
                        <w:w w:val="107"/>
                        <w:sz w:val="11"/>
                      </w:rPr>
                      <w:t>6</w:t>
                    </w:r>
                  </w:p>
                </w:txbxContent>
              </v:textbox>
              <v:fill type="solid"/>
              <v:stroke dashstyle="solid"/>
              <w10:wrap type="none"/>
            </v:shape>
            <v:shape style="position:absolute;left:3915;top:1956;width:389;height:374" type="#_x0000_t202" filled="true" fillcolor="#a7a9ac" stroked="false">
              <v:textbox inset="0,0,0,0">
                <w:txbxContent>
                  <w:p>
                    <w:pPr>
                      <w:spacing w:before="11"/>
                      <w:ind w:left="130" w:right="0" w:firstLine="0"/>
                      <w:jc w:val="left"/>
                      <w:rPr>
                        <w:rFonts w:ascii="Arial"/>
                        <w:b/>
                        <w:sz w:val="11"/>
                      </w:rPr>
                    </w:pPr>
                    <w:r>
                      <w:rPr>
                        <w:rFonts w:ascii="Arial"/>
                        <w:b/>
                        <w:color w:val="231F20"/>
                        <w:w w:val="105"/>
                        <w:sz w:val="11"/>
                      </w:rPr>
                      <w:t>12</w:t>
                    </w:r>
                  </w:p>
                </w:txbxContent>
              </v:textbox>
              <v:fill type="solid"/>
              <w10:wrap type="none"/>
            </v:shape>
            <v:shape style="position:absolute;left:3517;top:1790;width:390;height:540" type="#_x0000_t202" filled="false" stroked="false">
              <v:textbox inset="0,0,0,0">
                <w:txbxContent>
                  <w:p>
                    <w:pPr>
                      <w:spacing w:before="21"/>
                      <w:ind w:left="151" w:right="0" w:firstLine="0"/>
                      <w:jc w:val="left"/>
                      <w:rPr>
                        <w:rFonts w:ascii="Arial"/>
                        <w:b/>
                        <w:sz w:val="11"/>
                      </w:rPr>
                    </w:pPr>
                    <w:r>
                      <w:rPr>
                        <w:rFonts w:ascii="Arial"/>
                        <w:b/>
                        <w:color w:val="231F20"/>
                        <w:w w:val="105"/>
                        <w:sz w:val="11"/>
                      </w:rPr>
                      <w:t>42</w:t>
                    </w:r>
                  </w:p>
                </w:txbxContent>
              </v:textbox>
              <w10:wrap type="none"/>
            </v:shape>
            <v:shape style="position:absolute;left:3115;top:1538;width:393;height:793" type="#_x0000_t202" filled="true" fillcolor="#a7a9ac" stroked="false">
              <v:textbox inset="0,0,0,0">
                <w:txbxContent>
                  <w:p>
                    <w:pPr>
                      <w:spacing w:before="31"/>
                      <w:ind w:left="138" w:right="0" w:firstLine="0"/>
                      <w:jc w:val="left"/>
                      <w:rPr>
                        <w:rFonts w:ascii="Arial"/>
                        <w:b/>
                        <w:sz w:val="11"/>
                      </w:rPr>
                    </w:pPr>
                    <w:r>
                      <w:rPr>
                        <w:rFonts w:ascii="Arial"/>
                        <w:b/>
                        <w:color w:val="231F20"/>
                        <w:w w:val="105"/>
                        <w:sz w:val="11"/>
                      </w:rPr>
                      <w:t>46</w:t>
                    </w:r>
                  </w:p>
                </w:txbxContent>
              </v:textbox>
              <v:fill type="solid"/>
              <w10:wrap type="none"/>
            </v:shape>
            <v:shape style="position:absolute;left:2854;top:1445;width:152;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5"/>
                        <w:sz w:val="11"/>
                      </w:rPr>
                      <w:t>35</w:t>
                    </w:r>
                  </w:p>
                </w:txbxContent>
              </v:textbox>
              <w10:wrap type="none"/>
            </v:shape>
            <v:shape style="position:absolute;left:2428;top:1032;width:152;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5"/>
                        <w:sz w:val="11"/>
                      </w:rPr>
                      <w:t>33</w:t>
                    </w:r>
                  </w:p>
                </w:txbxContent>
              </v:textbox>
              <w10:wrap type="none"/>
            </v:shape>
            <v:shape style="position:absolute;left:2034;top:585;width:211;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5"/>
                        <w:sz w:val="11"/>
                      </w:rPr>
                      <w:t>115</w:t>
                    </w:r>
                  </w:p>
                </w:txbxContent>
              </v:textbox>
              <w10:wrap type="none"/>
            </v:shape>
            <v:shape style="position:absolute;left:5690;top:2197;width:86;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7"/>
                        <w:sz w:val="11"/>
                      </w:rPr>
                      <w:t>1</w:t>
                    </w:r>
                  </w:p>
                </w:txbxContent>
              </v:textbox>
              <w10:wrap type="none"/>
            </v:shape>
            <v:shape style="position:absolute;left:5279;top:2213;width:86;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7"/>
                        <w:sz w:val="11"/>
                      </w:rPr>
                      <w:t>6</w:t>
                    </w:r>
                  </w:p>
                </w:txbxContent>
              </v:textbox>
              <w10:wrap type="none"/>
            </v:shape>
            <v:shape style="position:absolute;left:1666;top:406;width:152;height:116" type="#_x0000_t202" filled="false" stroked="false">
              <v:textbox inset="0,0,0,0">
                <w:txbxContent>
                  <w:p>
                    <w:pPr>
                      <w:spacing w:line="113" w:lineRule="exact" w:before="0"/>
                      <w:ind w:left="0" w:right="0" w:firstLine="0"/>
                      <w:jc w:val="left"/>
                      <w:rPr>
                        <w:rFonts w:ascii="Arial"/>
                        <w:b/>
                        <w:sz w:val="11"/>
                      </w:rPr>
                    </w:pPr>
                    <w:r>
                      <w:rPr>
                        <w:rFonts w:ascii="Arial"/>
                        <w:b/>
                        <w:color w:val="231F20"/>
                        <w:w w:val="105"/>
                        <w:sz w:val="11"/>
                      </w:rPr>
                      <w:t>31</w:t>
                    </w:r>
                  </w:p>
                </w:txbxContent>
              </v:textbox>
              <w10:wrap type="none"/>
            </v:shape>
            <w10:wrap type="none"/>
          </v:group>
        </w:pict>
      </w:r>
      <w:r>
        <w:rPr/>
        <w:pict>
          <v:group style="position:absolute;margin-left:324.877014pt;margin-top:4.425741pt;width:73.6pt;height:47.1pt;mso-position-horizontal-relative:page;mso-position-vertical-relative:paragraph;z-index:4768" coordorigin="6498,89" coordsize="1472,942">
            <v:rect style="position:absolute;left:6520;top:90;width:1446;height:937" filled="false" stroked="true" strokeweight=".24pt" strokecolor="#231f20">
              <v:stroke dashstyle="solid"/>
            </v:rect>
            <v:line style="position:absolute" from="6931,531" to="6931,1027" stroked="true" strokeweight="5.99pt" strokecolor="#a6ce39">
              <v:stroke dashstyle="solid"/>
            </v:line>
            <v:rect style="position:absolute;left:6871;top:531;width:120;height:497" filled="false" stroked="true" strokeweight=".241pt" strokecolor="#231f20">
              <v:stroke dashstyle="solid"/>
            </v:rect>
            <v:line style="position:absolute" from="7226,617" to="7226,1027" stroked="true" strokeweight="5.561pt" strokecolor="#adbc72">
              <v:stroke dashstyle="solid"/>
            </v:line>
            <v:rect style="position:absolute;left:7170;top:617;width:112;height:411" filled="false" stroked="true" strokeweight=".241pt" strokecolor="#231f20">
              <v:stroke dashstyle="solid"/>
            </v:rect>
            <v:line style="position:absolute" from="7513,595" to="7513,1027" stroked="true" strokeweight="5.989pt" strokecolor="#fff200">
              <v:stroke dashstyle="solid"/>
            </v:line>
            <v:rect style="position:absolute;left:7453;top:595;width:120;height:433" filled="false" stroked="true" strokeweight=".241pt" strokecolor="#231f20">
              <v:stroke dashstyle="solid"/>
            </v:rect>
            <v:line style="position:absolute" from="7808,202" to="7808,1027" stroked="true" strokeweight="6.417pt" strokecolor="#fff9ae">
              <v:stroke dashstyle="solid"/>
            </v:line>
            <v:rect style="position:absolute;left:7744;top:202;width:129;height:825" filled="false" stroked="true" strokeweight=".241pt" strokecolor="#231f20">
              <v:stroke dashstyle="solid"/>
            </v:rect>
            <v:rect style="position:absolute;left:6588;top:967;width:103;height:60" filled="true" fillcolor="#00a650" stroked="false">
              <v:fill type="solid"/>
            </v:rect>
            <v:rect style="position:absolute;left:6588;top:967;width:103;height:60" filled="false" stroked="true" strokeweight=".241pt" strokecolor="#231f20">
              <v:stroke dashstyle="solid"/>
            </v:rect>
            <v:shape style="position:absolute;left:9;top:11801;width:44;height:654" coordorigin="9,11801" coordsize="44,654" path="m6510,859l6541,859m6501,699l6532,699m6510,542l6541,542m6498,375l6529,375m6498,206l6529,206e" filled="false" stroked="true" strokeweight=".241pt" strokecolor="#231f20">
              <v:path arrowok="t"/>
              <v:stroke dashstyle="solid"/>
            </v:shape>
            <v:shape style="position:absolute;left:6643;top:151;width:846;height:208" type="#_x0000_t202" filled="false" stroked="false">
              <v:textbox inset="0,0,0,0">
                <w:txbxContent>
                  <w:p>
                    <w:pPr>
                      <w:spacing w:line="102" w:lineRule="exact" w:before="0"/>
                      <w:ind w:left="0" w:right="0" w:firstLine="0"/>
                      <w:jc w:val="left"/>
                      <w:rPr>
                        <w:rFonts w:ascii="Arial"/>
                        <w:sz w:val="10"/>
                      </w:rPr>
                    </w:pPr>
                    <w:r>
                      <w:rPr>
                        <w:rFonts w:ascii="Arial"/>
                        <w:color w:val="414042"/>
                        <w:sz w:val="10"/>
                      </w:rPr>
                      <w:t>TOTAL TONNAGE</w:t>
                    </w:r>
                  </w:p>
                  <w:p>
                    <w:pPr>
                      <w:spacing w:line="105" w:lineRule="exact" w:before="0"/>
                      <w:ind w:left="36" w:right="0" w:firstLine="0"/>
                      <w:jc w:val="left"/>
                      <w:rPr>
                        <w:rFonts w:ascii="Arial"/>
                        <w:sz w:val="10"/>
                      </w:rPr>
                    </w:pPr>
                    <w:r>
                      <w:rPr>
                        <w:rFonts w:ascii="Arial"/>
                        <w:color w:val="414042"/>
                        <w:sz w:val="10"/>
                      </w:rPr>
                      <w:t>in billion tonnes</w:t>
                    </w:r>
                  </w:p>
                </w:txbxContent>
              </v:textbox>
              <w10:wrap type="none"/>
            </v:shape>
            <v:shape style="position:absolute;left:7725;top:95;width:216;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2.60</w:t>
                    </w:r>
                  </w:p>
                </w:txbxContent>
              </v:textbox>
              <w10:wrap type="none"/>
            </v:shape>
            <v:shape style="position:absolute;left:6832;top:424;width:216;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1.44</w:t>
                    </w:r>
                  </w:p>
                </w:txbxContent>
              </v:textbox>
              <w10:wrap type="none"/>
            </v:shape>
            <v:shape style="position:absolute;left:7136;top:490;width:504;height:129" type="#_x0000_t202" filled="false" stroked="false">
              <v:textbox inset="0,0,0,0">
                <w:txbxContent>
                  <w:p>
                    <w:pPr>
                      <w:spacing w:line="128" w:lineRule="exact" w:before="0"/>
                      <w:ind w:left="0" w:right="0" w:firstLine="0"/>
                      <w:jc w:val="left"/>
                      <w:rPr>
                        <w:rFonts w:ascii="Arial"/>
                        <w:sz w:val="10"/>
                      </w:rPr>
                    </w:pPr>
                    <w:r>
                      <w:rPr>
                        <w:rFonts w:ascii="Arial"/>
                        <w:color w:val="414042"/>
                        <w:sz w:val="10"/>
                      </w:rPr>
                      <w:t>1.24 </w:t>
                    </w:r>
                    <w:r>
                      <w:rPr>
                        <w:rFonts w:ascii="Arial"/>
                        <w:color w:val="414042"/>
                        <w:position w:val="2"/>
                        <w:sz w:val="10"/>
                      </w:rPr>
                      <w:t>1.34</w:t>
                    </w:r>
                  </w:p>
                </w:txbxContent>
              </v:textbox>
              <w10:wrap type="none"/>
            </v:shape>
            <v:shape style="position:absolute;left:6564;top:853;width:216;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0.18</w:t>
                    </w:r>
                  </w:p>
                </w:txbxContent>
              </v:textbox>
              <w10:wrap type="none"/>
            </v:shape>
            <w10:wrap type="none"/>
          </v:group>
        </w:pict>
      </w:r>
      <w:r>
        <w:rPr>
          <w:rFonts w:ascii="Arial"/>
          <w:color w:val="231F20"/>
          <w:w w:val="105"/>
          <w:sz w:val="11"/>
        </w:rPr>
        <w:t>35</w:t>
      </w:r>
    </w:p>
    <w:p>
      <w:pPr>
        <w:spacing w:before="17"/>
        <w:ind w:left="0" w:right="41" w:firstLine="0"/>
        <w:jc w:val="right"/>
        <w:rPr>
          <w:rFonts w:ascii="Arial"/>
          <w:sz w:val="10"/>
        </w:rPr>
      </w:pPr>
      <w:r>
        <w:rPr>
          <w:rFonts w:ascii="Arial"/>
          <w:color w:val="414042"/>
          <w:sz w:val="10"/>
        </w:rPr>
        <w:t>2.5</w:t>
      </w:r>
    </w:p>
    <w:p>
      <w:pPr>
        <w:tabs>
          <w:tab w:pos="5009" w:val="left" w:leader="none"/>
        </w:tabs>
        <w:spacing w:before="56"/>
        <w:ind w:left="0" w:right="38" w:firstLine="0"/>
        <w:jc w:val="right"/>
        <w:rPr>
          <w:rFonts w:ascii="Arial"/>
          <w:sz w:val="10"/>
        </w:rPr>
      </w:pPr>
      <w:r>
        <w:rPr>
          <w:rFonts w:ascii="Arial"/>
          <w:color w:val="231F20"/>
          <w:w w:val="105"/>
          <w:sz w:val="11"/>
        </w:rPr>
        <w:t>30</w:t>
        <w:tab/>
      </w:r>
      <w:r>
        <w:rPr>
          <w:rFonts w:ascii="Arial"/>
          <w:color w:val="414042"/>
          <w:spacing w:val="-3"/>
          <w:position w:val="1"/>
          <w:sz w:val="10"/>
        </w:rPr>
        <w:t>2.0</w:t>
      </w:r>
    </w:p>
    <w:p>
      <w:pPr>
        <w:spacing w:before="28"/>
        <w:ind w:left="0" w:right="41" w:firstLine="0"/>
        <w:jc w:val="right"/>
        <w:rPr>
          <w:rFonts w:ascii="Arial"/>
          <w:sz w:val="10"/>
        </w:rPr>
      </w:pPr>
      <w:r>
        <w:rPr>
          <w:rFonts w:ascii="Arial"/>
          <w:color w:val="414042"/>
          <w:sz w:val="10"/>
        </w:rPr>
        <w:t>1.5</w:t>
      </w:r>
    </w:p>
    <w:p>
      <w:pPr>
        <w:tabs>
          <w:tab w:pos="5006" w:val="left" w:leader="none"/>
        </w:tabs>
        <w:spacing w:before="55"/>
        <w:ind w:left="0" w:right="41" w:firstLine="0"/>
        <w:jc w:val="right"/>
        <w:rPr>
          <w:rFonts w:ascii="Arial"/>
          <w:sz w:val="10"/>
        </w:rPr>
      </w:pPr>
      <w:r>
        <w:rPr/>
        <w:pict>
          <v:shape style="position:absolute;margin-left:54.2388pt;margin-top:3.295588pt;width:10.7pt;height:70.150pt;mso-position-horizontal-relative:page;mso-position-vertical-relative:paragraph;z-index:4840" type="#_x0000_t202" filled="false" stroked="false">
            <v:textbox inset="0,0,0,0" style="layout-flow:vertical;mso-layout-flow-alt:bottom-to-top">
              <w:txbxContent>
                <w:p>
                  <w:pPr>
                    <w:spacing w:line="190" w:lineRule="exact" w:before="0"/>
                    <w:ind w:left="20" w:right="0" w:firstLine="0"/>
                    <w:jc w:val="left"/>
                    <w:rPr>
                      <w:rFonts w:ascii="Arial"/>
                      <w:b/>
                      <w:sz w:val="17"/>
                    </w:rPr>
                  </w:pPr>
                  <w:r>
                    <w:rPr>
                      <w:rFonts w:ascii="Arial"/>
                      <w:b/>
                      <w:color w:val="231F20"/>
                      <w:sz w:val="17"/>
                    </w:rPr>
                    <w:t>Total metals (Mt)</w:t>
                  </w:r>
                </w:p>
              </w:txbxContent>
            </v:textbox>
            <w10:wrap type="none"/>
          </v:shape>
        </w:pict>
      </w:r>
      <w:r>
        <w:rPr>
          <w:rFonts w:ascii="Arial"/>
          <w:color w:val="231F20"/>
          <w:w w:val="105"/>
          <w:position w:val="-1"/>
          <w:sz w:val="11"/>
        </w:rPr>
        <w:t>25</w:t>
        <w:tab/>
      </w:r>
      <w:r>
        <w:rPr>
          <w:rFonts w:ascii="Arial"/>
          <w:color w:val="414042"/>
          <w:spacing w:val="-3"/>
          <w:sz w:val="10"/>
        </w:rPr>
        <w:t>1.0</w:t>
      </w:r>
    </w:p>
    <w:p>
      <w:pPr>
        <w:spacing w:before="17"/>
        <w:ind w:left="0" w:right="41" w:firstLine="0"/>
        <w:jc w:val="right"/>
        <w:rPr>
          <w:rFonts w:ascii="Arial"/>
          <w:sz w:val="10"/>
        </w:rPr>
      </w:pPr>
      <w:r>
        <w:rPr>
          <w:rFonts w:ascii="Arial"/>
          <w:color w:val="414042"/>
          <w:sz w:val="10"/>
        </w:rPr>
        <w:t>0.5</w:t>
      </w:r>
    </w:p>
    <w:p>
      <w:pPr>
        <w:spacing w:before="62"/>
        <w:ind w:left="1339" w:right="0" w:firstLine="0"/>
        <w:jc w:val="left"/>
        <w:rPr>
          <w:rFonts w:ascii="Arial"/>
          <w:sz w:val="11"/>
        </w:rPr>
      </w:pPr>
      <w:r>
        <w:rPr/>
        <w:pict>
          <v:group style="position:absolute;margin-left:324.139008pt;margin-top:11.92842pt;width:74pt;height:48.2pt;mso-position-horizontal-relative:page;mso-position-vertical-relative:paragraph;z-index:4624" coordorigin="6483,239" coordsize="1480,964">
            <v:rect style="position:absolute;left:6505;top:240;width:1455;height:959" filled="false" stroked="true" strokeweight=".24pt" strokecolor="#231f20">
              <v:stroke dashstyle="solid"/>
            </v:rect>
            <v:rect style="position:absolute;left:6599;top:1070;width:103;height:129" filled="true" fillcolor="#00a650" stroked="false">
              <v:fill type="solid"/>
            </v:rect>
            <v:rect style="position:absolute;left:6599;top:1070;width:103;height:129" filled="false" stroked="true" strokeweight=".241pt" strokecolor="#231f20">
              <v:stroke dashstyle="solid"/>
            </v:rect>
            <v:line style="position:absolute" from="6942,1020" to="6942,1199" stroked="true" strokeweight="5.99pt" strokecolor="#a6ce39">
              <v:stroke dashstyle="solid"/>
            </v:line>
            <v:rect style="position:absolute;left:6881;top:1019;width:120;height:180" filled="false" stroked="true" strokeweight=".241pt" strokecolor="#231f20">
              <v:stroke dashstyle="solid"/>
            </v:rect>
            <v:line style="position:absolute" from="7237,831" to="7237,1199" stroked="true" strokeweight="5.561pt" strokecolor="#adbc72">
              <v:stroke dashstyle="solid"/>
            </v:line>
            <v:rect style="position:absolute;left:7181;top:831;width:112;height:368" filled="false" stroked="true" strokeweight=".241pt" strokecolor="#231f20">
              <v:stroke dashstyle="solid"/>
            </v:rect>
            <v:line style="position:absolute" from="7524,1011" to="7524,1199" stroked="true" strokeweight="5.989pt" strokecolor="#fff200">
              <v:stroke dashstyle="solid"/>
            </v:line>
            <v:rect style="position:absolute;left:7463;top:1011;width:120;height:189" filled="false" stroked="true" strokeweight=".241pt" strokecolor="#231f20">
              <v:stroke dashstyle="solid"/>
            </v:rect>
            <v:line style="position:absolute" from="7819,395" to="7819,1199" stroked="true" strokeweight="6.417pt" strokecolor="#fff9ae">
              <v:stroke dashstyle="solid"/>
            </v:line>
            <v:rect style="position:absolute;left:7754;top:394;width:129;height:805" filled="false" stroked="true" strokeweight=".241pt" strokecolor="#231f20">
              <v:stroke dashstyle="solid"/>
            </v:rect>
            <v:shape style="position:absolute;left:-6;top:11963;width:47;height:660" coordorigin="-6,11963" coordsize="47,660" path="m6492,1027l6523,1027m6498,861l6530,861m6495,694l6527,694m6489,531l6520,531m6483,367l6514,367e" filled="false" stroked="true" strokeweight=".241pt" strokecolor="#231f20">
              <v:path arrowok="t"/>
              <v:stroke dashstyle="solid"/>
            </v:shape>
            <v:shape style="position:absolute;left:6593;top:279;width:1360;height:545" type="#_x0000_t202" filled="false" stroked="false">
              <v:textbox inset="0,0,0,0">
                <w:txbxContent>
                  <w:p>
                    <w:pPr>
                      <w:spacing w:line="139" w:lineRule="exact" w:before="0"/>
                      <w:ind w:left="36" w:right="54" w:firstLine="0"/>
                      <w:jc w:val="center"/>
                      <w:rPr>
                        <w:rFonts w:ascii="Arial"/>
                        <w:sz w:val="10"/>
                      </w:rPr>
                    </w:pPr>
                    <w:r>
                      <w:rPr>
                        <w:rFonts w:ascii="Arial"/>
                        <w:color w:val="414042"/>
                        <w:sz w:val="10"/>
                      </w:rPr>
                      <w:t>AVERAGE TONNAGE </w:t>
                    </w:r>
                    <w:r>
                      <w:rPr>
                        <w:rFonts w:ascii="Arial"/>
                        <w:color w:val="414042"/>
                        <w:position w:val="4"/>
                        <w:sz w:val="10"/>
                      </w:rPr>
                      <w:t>23.7</w:t>
                    </w:r>
                  </w:p>
                  <w:p>
                    <w:pPr>
                      <w:spacing w:line="105" w:lineRule="exact" w:before="0"/>
                      <w:ind w:left="77" w:right="0" w:firstLine="0"/>
                      <w:jc w:val="left"/>
                      <w:rPr>
                        <w:rFonts w:ascii="Arial"/>
                        <w:sz w:val="10"/>
                      </w:rPr>
                    </w:pPr>
                    <w:r>
                      <w:rPr>
                        <w:rFonts w:ascii="Arial"/>
                        <w:color w:val="414042"/>
                        <w:sz w:val="10"/>
                      </w:rPr>
                      <w:t>in million tonnes</w:t>
                    </w:r>
                  </w:p>
                  <w:p>
                    <w:pPr>
                      <w:spacing w:line="240" w:lineRule="auto" w:before="0"/>
                      <w:rPr>
                        <w:sz w:val="10"/>
                      </w:rPr>
                    </w:pPr>
                  </w:p>
                  <w:p>
                    <w:pPr>
                      <w:spacing w:before="70"/>
                      <w:ind w:left="36" w:right="93" w:firstLine="0"/>
                      <w:jc w:val="center"/>
                      <w:rPr>
                        <w:rFonts w:ascii="Arial"/>
                        <w:sz w:val="10"/>
                      </w:rPr>
                    </w:pPr>
                    <w:r>
                      <w:rPr>
                        <w:rFonts w:ascii="Arial"/>
                        <w:color w:val="414042"/>
                        <w:sz w:val="10"/>
                      </w:rPr>
                      <w:t>11.0</w:t>
                    </w:r>
                  </w:p>
                </w:txbxContent>
              </v:textbox>
              <w10:wrap type="none"/>
            </v:shape>
            <v:shape style="position:absolute;left:6589;top:952;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2.8</w:t>
                    </w:r>
                  </w:p>
                </w:txbxContent>
              </v:textbox>
              <w10:wrap type="none"/>
            </v:shape>
            <v:shape style="position:absolute;left:6870;top:900;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5.1</w:t>
                    </w:r>
                  </w:p>
                </w:txbxContent>
              </v:textbox>
              <w10:wrap type="none"/>
            </v:shape>
            <v:shape style="position:absolute;left:7482;top:898;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5.2</w:t>
                    </w:r>
                  </w:p>
                </w:txbxContent>
              </v:textbox>
              <w10:wrap type="none"/>
            </v:shape>
            <w10:wrap type="none"/>
          </v:group>
        </w:pict>
      </w:r>
      <w:r>
        <w:rPr>
          <w:rFonts w:ascii="Arial"/>
          <w:color w:val="231F20"/>
          <w:w w:val="105"/>
          <w:sz w:val="11"/>
        </w:rPr>
        <w:t>20</w:t>
      </w:r>
    </w:p>
    <w:p>
      <w:pPr>
        <w:spacing w:line="102" w:lineRule="exact" w:before="107"/>
        <w:ind w:left="0" w:right="47" w:firstLine="0"/>
        <w:jc w:val="right"/>
        <w:rPr>
          <w:rFonts w:ascii="Arial"/>
          <w:sz w:val="10"/>
        </w:rPr>
      </w:pPr>
      <w:r>
        <w:rPr>
          <w:rFonts w:ascii="Arial"/>
          <w:color w:val="414042"/>
          <w:sz w:val="10"/>
        </w:rPr>
        <w:t>25</w:t>
      </w:r>
    </w:p>
    <w:p>
      <w:pPr>
        <w:tabs>
          <w:tab w:pos="5014" w:val="left" w:leader="none"/>
        </w:tabs>
        <w:spacing w:line="208" w:lineRule="auto" w:before="0"/>
        <w:ind w:left="0" w:right="54" w:firstLine="0"/>
        <w:jc w:val="right"/>
        <w:rPr>
          <w:rFonts w:ascii="Arial"/>
          <w:sz w:val="10"/>
        </w:rPr>
      </w:pPr>
      <w:r>
        <w:rPr>
          <w:rFonts w:ascii="Arial"/>
          <w:color w:val="231F20"/>
          <w:w w:val="105"/>
          <w:sz w:val="11"/>
        </w:rPr>
        <w:t>15</w:t>
        <w:tab/>
      </w:r>
      <w:r>
        <w:rPr>
          <w:rFonts w:ascii="Arial"/>
          <w:color w:val="414042"/>
          <w:position w:val="-6"/>
          <w:sz w:val="10"/>
        </w:rPr>
        <w:t>20</w:t>
      </w:r>
    </w:p>
    <w:p>
      <w:pPr>
        <w:tabs>
          <w:tab w:pos="5010" w:val="left" w:leader="none"/>
        </w:tabs>
        <w:spacing w:line="204" w:lineRule="auto" w:before="55"/>
        <w:ind w:left="0" w:right="57" w:firstLine="0"/>
        <w:jc w:val="right"/>
        <w:rPr>
          <w:rFonts w:ascii="Arial"/>
          <w:sz w:val="10"/>
        </w:rPr>
      </w:pPr>
      <w:r>
        <w:rPr>
          <w:rFonts w:ascii="Arial"/>
          <w:color w:val="231F20"/>
          <w:w w:val="105"/>
          <w:position w:val="-7"/>
          <w:sz w:val="11"/>
        </w:rPr>
        <w:t>10</w:t>
        <w:tab/>
      </w:r>
      <w:r>
        <w:rPr>
          <w:rFonts w:ascii="Arial"/>
          <w:color w:val="414042"/>
          <w:sz w:val="10"/>
        </w:rPr>
        <w:t>15</w:t>
      </w:r>
    </w:p>
    <w:p>
      <w:pPr>
        <w:spacing w:line="100" w:lineRule="exact" w:before="0"/>
        <w:ind w:left="0" w:right="57" w:firstLine="0"/>
        <w:jc w:val="right"/>
        <w:rPr>
          <w:rFonts w:ascii="Arial"/>
          <w:sz w:val="10"/>
        </w:rPr>
      </w:pPr>
      <w:r>
        <w:rPr>
          <w:rFonts w:ascii="Arial"/>
          <w:color w:val="414042"/>
          <w:sz w:val="10"/>
        </w:rPr>
        <w:t>10</w:t>
      </w:r>
    </w:p>
    <w:p>
      <w:pPr>
        <w:tabs>
          <w:tab w:pos="5008" w:val="left" w:leader="none"/>
        </w:tabs>
        <w:spacing w:before="55"/>
        <w:ind w:left="0" w:right="66" w:firstLine="0"/>
        <w:jc w:val="right"/>
        <w:rPr>
          <w:rFonts w:ascii="Arial"/>
          <w:sz w:val="10"/>
        </w:rPr>
      </w:pPr>
      <w:r>
        <w:rPr>
          <w:rFonts w:ascii="Arial"/>
          <w:color w:val="231F20"/>
          <w:w w:val="105"/>
          <w:position w:val="-7"/>
          <w:sz w:val="11"/>
        </w:rPr>
        <w:t>5</w:t>
        <w:tab/>
      </w:r>
      <w:r>
        <w:rPr>
          <w:rFonts w:ascii="Arial"/>
          <w:color w:val="414042"/>
          <w:sz w:val="10"/>
        </w:rPr>
        <w:t>5</w:t>
      </w:r>
    </w:p>
    <w:p>
      <w:pPr>
        <w:pStyle w:val="BodyText"/>
        <w:spacing w:before="2"/>
        <w:rPr>
          <w:rFonts w:ascii="Arial"/>
          <w:sz w:val="16"/>
        </w:rPr>
      </w:pPr>
    </w:p>
    <w:p>
      <w:pPr>
        <w:spacing w:before="0"/>
        <w:ind w:left="1388" w:right="0" w:firstLine="0"/>
        <w:jc w:val="left"/>
        <w:rPr>
          <w:rFonts w:ascii="Arial"/>
          <w:sz w:val="11"/>
        </w:rPr>
      </w:pPr>
      <w:r>
        <w:rPr/>
        <w:pict>
          <v:group style="position:absolute;margin-left:324.279999pt;margin-top:-1.47039pt;width:73.850pt;height:46.45pt;mso-position-horizontal-relative:page;mso-position-vertical-relative:paragraph;z-index:-178840" coordorigin="6486,-29" coordsize="1477,929">
            <v:rect style="position:absolute;left:6505;top:-28;width:1455;height:925" filled="false" stroked="true" strokeweight=".24pt" strokecolor="#231f20">
              <v:stroke dashstyle="solid"/>
            </v:rect>
            <v:line style="position:absolute" from="6651,743" to="6651,896" stroked="true" strokeweight="5.133pt" strokecolor="#00a650">
              <v:stroke dashstyle="solid"/>
            </v:line>
            <v:rect style="position:absolute;left:6599;top:743;width:103;height:153" filled="false" stroked="true" strokeweight=".241pt" strokecolor="#231f20">
              <v:stroke dashstyle="solid"/>
            </v:rect>
            <v:line style="position:absolute" from="6942,264" to="6942,896" stroked="true" strokeweight="5.99pt" strokecolor="#a6ce39">
              <v:stroke dashstyle="solid"/>
            </v:line>
            <v:rect style="position:absolute;left:6881;top:263;width:120;height:632" filled="false" stroked="true" strokeweight=".241pt" strokecolor="#231f20">
              <v:stroke dashstyle="solid"/>
            </v:rect>
            <v:line style="position:absolute" from="7237,649" to="7237,896" stroked="true" strokeweight="5.561pt" strokecolor="#adbc72">
              <v:stroke dashstyle="solid"/>
            </v:line>
            <v:rect style="position:absolute;left:7181;top:648;width:112;height:247" filled="false" stroked="true" strokeweight=".241pt" strokecolor="#231f20">
              <v:stroke dashstyle="solid"/>
            </v:rect>
            <v:line style="position:absolute" from="7524,349" to="7524,896" stroked="true" strokeweight="5.989pt" strokecolor="#fff200">
              <v:stroke dashstyle="solid"/>
            </v:line>
            <v:rect style="position:absolute;left:7463;top:349;width:120;height:547" filled="false" stroked="true" strokeweight=".241pt" strokecolor="#231f20">
              <v:stroke dashstyle="solid"/>
            </v:rect>
            <v:line style="position:absolute" from="7819,683" to="7819,896" stroked="true" strokeweight="6.417pt" strokecolor="#fff9ae">
              <v:stroke dashstyle="solid"/>
            </v:line>
            <v:rect style="position:absolute;left:7754;top:683;width:129;height:213" filled="false" stroked="true" strokeweight=".241pt" strokecolor="#231f20">
              <v:stroke dashstyle="solid"/>
            </v:rect>
            <v:shape style="position:absolute;left:-3;top:11847;width:38;height:528" coordorigin="-3,11847" coordsize="38,528" path="m6488,779l6520,779m6492,673l6523,673m6492,566l6523,566m6492,465l6523,465m6489,358l6520,358m6486,252l6517,252e" filled="false" stroked="true" strokeweight=".241pt" strokecolor="#231f20">
              <v:path arrowok="t"/>
              <v:stroke dashstyle="solid"/>
            </v:shape>
            <v:shape style="position:absolute;left:6721;top:-2;width:1160;height:660" type="#_x0000_t202" filled="false" stroked="false">
              <v:textbox inset="0,0,0,0">
                <w:txbxContent>
                  <w:p>
                    <w:pPr>
                      <w:spacing w:line="112" w:lineRule="exact" w:before="0"/>
                      <w:ind w:left="0" w:right="18" w:firstLine="0"/>
                      <w:jc w:val="center"/>
                      <w:rPr>
                        <w:rFonts w:ascii="Arial"/>
                        <w:sz w:val="10"/>
                      </w:rPr>
                    </w:pPr>
                    <w:r>
                      <w:rPr>
                        <w:rFonts w:ascii="Arial"/>
                        <w:color w:val="414042"/>
                        <w:sz w:val="10"/>
                      </w:rPr>
                      <w:t>NUMBER OF DEPOSITS</w:t>
                    </w:r>
                  </w:p>
                  <w:p>
                    <w:pPr>
                      <w:spacing w:line="97" w:lineRule="exact" w:before="48"/>
                      <w:ind w:left="152" w:right="0" w:firstLine="0"/>
                      <w:jc w:val="left"/>
                      <w:rPr>
                        <w:rFonts w:ascii="Arial"/>
                        <w:sz w:val="10"/>
                      </w:rPr>
                    </w:pPr>
                    <w:r>
                      <w:rPr>
                        <w:rFonts w:ascii="Arial"/>
                        <w:color w:val="414042"/>
                        <w:sz w:val="10"/>
                      </w:rPr>
                      <w:t>284</w:t>
                    </w:r>
                  </w:p>
                  <w:p>
                    <w:pPr>
                      <w:spacing w:line="97" w:lineRule="exact" w:before="0"/>
                      <w:ind w:left="733" w:right="0" w:firstLine="0"/>
                      <w:jc w:val="left"/>
                      <w:rPr>
                        <w:rFonts w:ascii="Arial"/>
                        <w:sz w:val="10"/>
                      </w:rPr>
                    </w:pPr>
                    <w:r>
                      <w:rPr>
                        <w:rFonts w:ascii="Arial"/>
                        <w:color w:val="414042"/>
                        <w:sz w:val="10"/>
                      </w:rPr>
                      <w:t>255</w:t>
                    </w:r>
                  </w:p>
                  <w:p>
                    <w:pPr>
                      <w:spacing w:line="240" w:lineRule="auto" w:before="0"/>
                      <w:rPr>
                        <w:sz w:val="10"/>
                      </w:rPr>
                    </w:pPr>
                  </w:p>
                  <w:p>
                    <w:pPr>
                      <w:spacing w:before="75"/>
                      <w:ind w:left="0" w:right="152" w:firstLine="0"/>
                      <w:jc w:val="center"/>
                      <w:rPr>
                        <w:rFonts w:ascii="Arial"/>
                        <w:sz w:val="10"/>
                      </w:rPr>
                    </w:pPr>
                    <w:r>
                      <w:rPr>
                        <w:rFonts w:ascii="Arial"/>
                        <w:color w:val="414042"/>
                        <w:sz w:val="10"/>
                      </w:rPr>
                      <w:t>113</w:t>
                    </w:r>
                  </w:p>
                </w:txbxContent>
              </v:textbox>
              <w10:wrap type="none"/>
            </v:shape>
            <v:shape style="position:absolute;left:6606;top:628;width:132;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62</w:t>
                    </w:r>
                  </w:p>
                </w:txbxContent>
              </v:textbox>
              <w10:wrap type="none"/>
            </v:shape>
            <v:shape style="position:absolute;left:7759;top:573;width:132;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97</w:t>
                    </w:r>
                  </w:p>
                </w:txbxContent>
              </v:textbox>
              <w10:wrap type="none"/>
            </v:shape>
            <w10:wrap type="none"/>
          </v:group>
        </w:pict>
      </w:r>
      <w:r>
        <w:rPr>
          <w:rFonts w:ascii="Arial"/>
          <w:color w:val="231F20"/>
          <w:w w:val="107"/>
          <w:sz w:val="11"/>
        </w:rPr>
        <w:t>0</w:t>
      </w:r>
    </w:p>
    <w:p>
      <w:pPr>
        <w:spacing w:before="59"/>
        <w:ind w:left="0" w:right="45" w:firstLine="0"/>
        <w:jc w:val="right"/>
        <w:rPr>
          <w:rFonts w:ascii="Arial"/>
          <w:sz w:val="10"/>
        </w:rPr>
      </w:pPr>
      <w:r>
        <w:rPr/>
        <w:pict>
          <v:shape style="position:absolute;margin-left:71.2584pt;margin-top:6.596599pt;width:12.2pt;height:5.8pt;mso-position-horizontal-relative:page;mso-position-vertical-relative:paragraph;z-index:4864;rotation:315" type="#_x0000_t136" fillcolor="#231f20" stroked="f">
            <o:extrusion v:ext="view" autorotationcenter="t"/>
            <v:textpath style="font-family:&amp;quot;Arial&amp;quot;;font-size:5pt;v-text-kern:t;mso-text-shadow:auto;font-weight:bold" string="New"/>
            <w10:wrap type="none"/>
          </v:shape>
        </w:pict>
      </w:r>
      <w:r>
        <w:rPr/>
        <w:pict>
          <v:shape style="position:absolute;margin-left:66.322746pt;margin-top:10.442285pt;width:29.85pt;height:5.8pt;mso-position-horizontal-relative:page;mso-position-vertical-relative:paragraph;z-index:4888;rotation:315" type="#_x0000_t136" fillcolor="#231f20" stroked="f">
            <o:extrusion v:ext="view" autorotationcenter="t"/>
            <v:textpath style="font-family:&amp;quot;Arial&amp;quot;;font-size:5pt;v-text-kern:t;mso-text-shadow:auto;font-weight:bold" string="Brunswick"/>
            <w10:wrap type="none"/>
          </v:shape>
        </w:pict>
      </w:r>
      <w:r>
        <w:rPr/>
        <w:pict>
          <v:shape style="position:absolute;margin-left:89.654228pt;margin-top:7.299214pt;width:21.65pt;height:5.8pt;mso-position-horizontal-relative:page;mso-position-vertical-relative:paragraph;z-index:4912;rotation:315" type="#_x0000_t136" fillcolor="#231f20" stroked="f">
            <o:extrusion v:ext="view" autorotationcenter="t"/>
            <v:textpath style="font-family:&amp;quot;Arial&amp;quot;;font-size:5pt;v-text-kern:t;mso-text-shadow:auto;font-weight:bold" string="Quebec"/>
            <w10:wrap type="none"/>
          </v:shape>
        </w:pict>
      </w:r>
      <w:r>
        <w:rPr/>
        <w:pict>
          <v:shape style="position:absolute;margin-left:109.104782pt;margin-top:7.007976pt;width:21pt;height:5.8pt;mso-position-horizontal-relative:page;mso-position-vertical-relative:paragraph;z-index:4936;rotation:315" type="#_x0000_t136" fillcolor="#231f20" stroked="f">
            <o:extrusion v:ext="view" autorotationcenter="t"/>
            <v:textpath style="font-family:&amp;quot;Arial&amp;quot;;font-size:5pt;v-text-kern:t;mso-text-shadow:auto;font-weight:bold" string="Ontario"/>
            <w10:wrap type="none"/>
          </v:shape>
        </w:pict>
      </w:r>
      <w:r>
        <w:rPr/>
        <w:pict>
          <v:shape style="position:absolute;margin-left:126.998222pt;margin-top:5.947815pt;width:18.7pt;height:5.8pt;mso-position-horizontal-relative:page;mso-position-vertical-relative:paragraph;z-index:4960;rotation:315" type="#_x0000_t136" fillcolor="#231f20" stroked="f">
            <o:extrusion v:ext="view" autorotationcenter="t"/>
            <v:textpath style="font-family:&amp;quot;Arial&amp;quot;;font-size:5pt;v-text-kern:t;mso-text-shadow:auto;font-weight:bold" string="British"/>
            <w10:wrap type="none"/>
          </v:shape>
        </w:pict>
      </w:r>
      <w:r>
        <w:rPr/>
        <w:pict>
          <v:shape style="position:absolute;margin-left:126.784065pt;margin-top:9.822587pt;width:26.9pt;height:5.8pt;mso-position-horizontal-relative:page;mso-position-vertical-relative:paragraph;z-index:4984;rotation:315" type="#_x0000_t136" fillcolor="#231f20" stroked="f">
            <o:extrusion v:ext="view" autorotationcenter="t"/>
            <v:textpath style="font-family:&amp;quot;Arial&amp;quot;;font-size:5pt;v-text-kern:t;mso-text-shadow:auto;font-weight:bold" string="Columbia"/>
            <w10:wrap type="none"/>
          </v:shape>
        </w:pict>
      </w:r>
      <w:r>
        <w:rPr/>
        <w:pict>
          <v:shape style="position:absolute;margin-left:145.29541pt;margin-top:8.789922pt;width:25.9pt;height:5.8pt;mso-position-horizontal-relative:page;mso-position-vertical-relative:paragraph;z-index:5008;rotation:315" type="#_x0000_t136" fillcolor="#231f20" stroked="f">
            <o:extrusion v:ext="view" autorotationcenter="t"/>
            <v:textpath style="font-family:&amp;quot;Arial&amp;quot;;font-size:5pt;v-text-kern:t;mso-text-shadow:auto;font-weight:bold" string="Manitoba"/>
            <w10:wrap type="none"/>
          </v:shape>
        </w:pict>
      </w:r>
      <w:r>
        <w:rPr/>
        <w:pict>
          <v:shape style="position:absolute;margin-left:187.497406pt;margin-top:8.753585pt;width:23.6pt;height:5.8pt;mso-position-horizontal-relative:page;mso-position-vertical-relative:paragraph;z-index:5080;rotation:315" type="#_x0000_t136" fillcolor="#231f20" stroked="f">
            <o:extrusion v:ext="view" autorotationcenter="t"/>
            <v:textpath style="font-family:&amp;quot;Arial&amp;quot;;font-size:5pt;v-text-kern:t;mso-text-shadow:auto;font-weight:bold" string="Nunavut"/>
            <w10:wrap type="none"/>
          </v:shape>
        </w:pict>
      </w:r>
      <w:r>
        <w:rPr/>
        <w:pict>
          <v:shape style="position:absolute;margin-left:211.528839pt;margin-top:5.899459pt;width:17.7pt;height:5.8pt;mso-position-horizontal-relative:page;mso-position-vertical-relative:paragraph;z-index:5104;rotation:315" type="#_x0000_t136" fillcolor="#231f20" stroked="f">
            <o:extrusion v:ext="view" autorotationcenter="t"/>
            <v:textpath style="font-family:&amp;quot;Arial&amp;quot;;font-size:5pt;v-text-kern:t;mso-text-shadow:auto;font-weight:bold" string="Yukon"/>
            <w10:wrap type="none"/>
          </v:shape>
        </w:pict>
      </w:r>
      <w:r>
        <w:rPr/>
        <w:pict>
          <v:shape style="position:absolute;margin-left:237.453674pt;margin-top:10.633139pt;width:28.85pt;height:5.8pt;mso-position-horizontal-relative:page;mso-position-vertical-relative:paragraph;z-index:5152;rotation:315" type="#_x0000_t136" fillcolor="#231f20" stroked="f">
            <o:extrusion v:ext="view" autorotationcenter="t"/>
            <v:textpath style="font-family:&amp;quot;Arial&amp;quot;;font-size:5pt;v-text-kern:t;mso-text-shadow:auto;font-weight:bold" string="Northwest"/>
            <w10:wrap type="none"/>
          </v:shape>
        </w:pict>
      </w:r>
      <w:r>
        <w:rPr>
          <w:rFonts w:ascii="Arial"/>
          <w:color w:val="414042"/>
          <w:sz w:val="10"/>
        </w:rPr>
        <w:t>300</w:t>
      </w:r>
    </w:p>
    <w:p>
      <w:pPr>
        <w:pStyle w:val="BodyText"/>
        <w:spacing w:before="1"/>
        <w:rPr>
          <w:rFonts w:ascii="Arial"/>
          <w:sz w:val="8"/>
        </w:rPr>
      </w:pPr>
    </w:p>
    <w:p>
      <w:pPr>
        <w:spacing w:before="0"/>
        <w:ind w:left="0" w:right="42" w:firstLine="0"/>
        <w:jc w:val="right"/>
        <w:rPr>
          <w:rFonts w:ascii="Arial"/>
          <w:sz w:val="10"/>
        </w:rPr>
      </w:pPr>
      <w:r>
        <w:rPr/>
        <w:pict>
          <v:shape style="position:absolute;margin-left:149.630951pt;margin-top:1.013004pt;width:42.6pt;height:5.8pt;mso-position-horizontal-relative:page;mso-position-vertical-relative:paragraph;z-index:5032;rotation:315" type="#_x0000_t136" fillcolor="#231f20" stroked="f">
            <o:extrusion v:ext="view" autorotationcenter="t"/>
            <v:textpath style="font-family:&amp;quot;Arial&amp;quot;;font-size:5pt;v-text-kern:t;mso-text-shadow:auto;font-weight:bold" string="Newfoundland-"/>
            <w10:wrap type="none"/>
          </v:shape>
        </w:pict>
      </w:r>
      <w:r>
        <w:rPr/>
        <w:pict>
          <v:shape style="position:absolute;margin-left:162.018158pt;margin-top:4.889860pt;width:25.55pt;height:5.8pt;mso-position-horizontal-relative:page;mso-position-vertical-relative:paragraph;z-index:5056;rotation:315" type="#_x0000_t136" fillcolor="#231f20" stroked="f">
            <o:extrusion v:ext="view" autorotationcenter="t"/>
            <v:textpath style="font-family:&amp;quot;Arial&amp;quot;;font-size:5pt;v-text-kern:t;mso-text-shadow:auto;font-weight:bold" string="Labrador"/>
            <w10:wrap type="none"/>
          </v:shape>
        </w:pict>
      </w:r>
      <w:r>
        <w:rPr/>
        <w:pict>
          <v:shape style="position:absolute;margin-left:211.690598pt;margin-top:.739392pt;width:40.65pt;height:5.8pt;mso-position-horizontal-relative:page;mso-position-vertical-relative:paragraph;z-index:5128;rotation:315" type="#_x0000_t136" fillcolor="#231f20" stroked="f">
            <o:extrusion v:ext="view" autorotationcenter="t"/>
            <v:textpath style="font-family:&amp;quot;Arial&amp;quot;;font-size:5pt;v-text-kern:t;mso-text-shadow:auto;font-weight:bold" string="Saskatchewan"/>
            <w10:wrap type="none"/>
          </v:shape>
        </w:pict>
      </w:r>
      <w:r>
        <w:rPr/>
        <w:pict>
          <v:shape style="position:absolute;margin-left:244.854156pt;margin-top:-2.288229pt;width:28.75pt;height:5.8pt;mso-position-horizontal-relative:page;mso-position-vertical-relative:paragraph;z-index:5176;rotation:315" type="#_x0000_t136" fillcolor="#231f20" stroked="f">
            <o:extrusion v:ext="view" autorotationcenter="t"/>
            <v:textpath style="font-family:&amp;quot;Arial&amp;quot;;font-size:5pt;v-text-kern:t;mso-text-shadow:auto;font-weight:bold" string="Territories"/>
            <w10:wrap type="none"/>
          </v:shape>
        </w:pict>
      </w:r>
      <w:r>
        <w:rPr/>
        <w:pict>
          <v:shape style="position:absolute;margin-left:258.182343pt;margin-top:-1.868766pt;width:33.75pt;height:5.8pt;mso-position-horizontal-relative:page;mso-position-vertical-relative:paragraph;z-index:5200;rotation:315" type="#_x0000_t136" fillcolor="#231f20" stroked="f">
            <o:extrusion v:ext="view" autorotationcenter="t"/>
            <v:textpath style="font-family:&amp;quot;Arial&amp;quot;;font-size:5pt;v-text-kern:t;mso-text-shadow:auto;font-weight:bold" string="Nova Scotia"/>
            <w10:wrap type="none"/>
          </v:shape>
        </w:pict>
      </w:r>
      <w:r>
        <w:rPr>
          <w:rFonts w:ascii="Arial"/>
          <w:color w:val="414042"/>
          <w:sz w:val="10"/>
        </w:rPr>
        <w:t>200</w:t>
      </w:r>
    </w:p>
    <w:p>
      <w:pPr>
        <w:pStyle w:val="BodyText"/>
        <w:spacing w:before="6"/>
        <w:rPr>
          <w:rFonts w:ascii="Arial"/>
          <w:sz w:val="8"/>
        </w:rPr>
      </w:pPr>
    </w:p>
    <w:p>
      <w:pPr>
        <w:spacing w:before="1"/>
        <w:ind w:left="0" w:right="51" w:firstLine="0"/>
        <w:jc w:val="right"/>
        <w:rPr>
          <w:rFonts w:ascii="Arial"/>
          <w:sz w:val="10"/>
        </w:rPr>
      </w:pPr>
      <w:r>
        <w:rPr>
          <w:rFonts w:ascii="Arial"/>
          <w:color w:val="414042"/>
          <w:sz w:val="10"/>
        </w:rPr>
        <w:t>100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8"/>
        <w:rPr>
          <w:rFonts w:ascii="Arial"/>
          <w:sz w:val="9"/>
        </w:rPr>
      </w:pPr>
    </w:p>
    <w:p>
      <w:pPr>
        <w:spacing w:line="113" w:lineRule="exact" w:before="0"/>
        <w:ind w:left="0" w:right="10" w:firstLine="0"/>
        <w:jc w:val="right"/>
        <w:rPr>
          <w:rFonts w:ascii="Arial"/>
          <w:sz w:val="10"/>
        </w:rPr>
      </w:pPr>
      <w:r>
        <w:rPr>
          <w:rFonts w:ascii="Arial"/>
          <w:color w:val="414042"/>
          <w:w w:val="100"/>
          <w:sz w:val="10"/>
        </w:rPr>
        <w:t>2</w:t>
      </w:r>
    </w:p>
    <w:p>
      <w:pPr>
        <w:spacing w:line="113" w:lineRule="exact" w:before="0"/>
        <w:ind w:left="0" w:right="9" w:firstLine="0"/>
        <w:jc w:val="right"/>
        <w:rPr>
          <w:rFonts w:ascii="Arial"/>
          <w:sz w:val="10"/>
        </w:rPr>
      </w:pPr>
      <w:r>
        <w:rPr>
          <w:rFonts w:ascii="Arial"/>
          <w:color w:val="414042"/>
          <w:sz w:val="10"/>
        </w:rPr>
        <w:t>1.5</w:t>
      </w:r>
    </w:p>
    <w:p>
      <w:pPr>
        <w:spacing w:line="111" w:lineRule="exact" w:before="1"/>
        <w:ind w:left="0" w:right="9" w:firstLine="0"/>
        <w:jc w:val="right"/>
        <w:rPr>
          <w:rFonts w:ascii="Arial"/>
          <w:sz w:val="10"/>
        </w:rPr>
      </w:pPr>
      <w:r>
        <w:rPr>
          <w:rFonts w:ascii="Arial"/>
          <w:color w:val="414042"/>
          <w:w w:val="100"/>
          <w:sz w:val="10"/>
        </w:rPr>
        <w:t>1</w:t>
      </w:r>
    </w:p>
    <w:p>
      <w:pPr>
        <w:spacing w:line="111" w:lineRule="exact" w:before="0"/>
        <w:ind w:left="0" w:right="9" w:firstLine="0"/>
        <w:jc w:val="right"/>
        <w:rPr>
          <w:rFonts w:ascii="Arial"/>
          <w:sz w:val="10"/>
        </w:rPr>
      </w:pPr>
      <w:r>
        <w:rPr>
          <w:rFonts w:ascii="Arial"/>
          <w:color w:val="414042"/>
          <w:sz w:val="10"/>
        </w:rPr>
        <w:t>0.5</w:t>
      </w:r>
    </w:p>
    <w:p>
      <w:pPr>
        <w:spacing w:line="102" w:lineRule="exact" w:before="67"/>
        <w:ind w:left="0" w:right="10" w:firstLine="0"/>
        <w:jc w:val="right"/>
        <w:rPr>
          <w:rFonts w:ascii="Arial"/>
          <w:sz w:val="10"/>
        </w:rPr>
      </w:pPr>
      <w:r>
        <w:rPr>
          <w:rFonts w:ascii="Arial"/>
          <w:color w:val="414042"/>
          <w:w w:val="100"/>
          <w:sz w:val="10"/>
        </w:rPr>
        <w:t>5</w:t>
      </w:r>
    </w:p>
    <w:p>
      <w:pPr>
        <w:spacing w:line="86" w:lineRule="exact" w:before="0"/>
        <w:ind w:left="0" w:right="11" w:firstLine="0"/>
        <w:jc w:val="right"/>
        <w:rPr>
          <w:rFonts w:ascii="Arial"/>
          <w:sz w:val="10"/>
        </w:rPr>
      </w:pPr>
      <w:r>
        <w:rPr>
          <w:rFonts w:ascii="Arial"/>
          <w:color w:val="414042"/>
          <w:w w:val="100"/>
          <w:sz w:val="10"/>
        </w:rPr>
        <w:t>4</w:t>
      </w:r>
    </w:p>
    <w:p>
      <w:pPr>
        <w:spacing w:line="83" w:lineRule="exact" w:before="0"/>
        <w:ind w:left="0" w:right="8" w:firstLine="0"/>
        <w:jc w:val="right"/>
        <w:rPr>
          <w:rFonts w:ascii="Arial"/>
          <w:sz w:val="10"/>
        </w:rPr>
      </w:pPr>
      <w:r>
        <w:rPr>
          <w:rFonts w:ascii="Arial"/>
          <w:color w:val="414042"/>
          <w:w w:val="100"/>
          <w:sz w:val="10"/>
        </w:rPr>
        <w:t>3</w:t>
      </w:r>
    </w:p>
    <w:p>
      <w:pPr>
        <w:spacing w:line="88" w:lineRule="exact" w:before="0"/>
        <w:ind w:left="0" w:right="9" w:firstLine="0"/>
        <w:jc w:val="right"/>
        <w:rPr>
          <w:rFonts w:ascii="Arial"/>
          <w:sz w:val="10"/>
        </w:rPr>
      </w:pPr>
      <w:r>
        <w:rPr>
          <w:rFonts w:ascii="Arial"/>
          <w:color w:val="414042"/>
          <w:w w:val="100"/>
          <w:sz w:val="10"/>
        </w:rPr>
        <w:t>2</w:t>
      </w:r>
    </w:p>
    <w:p>
      <w:pPr>
        <w:spacing w:line="104" w:lineRule="exact" w:before="0"/>
        <w:ind w:left="0" w:right="7" w:firstLine="0"/>
        <w:jc w:val="right"/>
        <w:rPr>
          <w:rFonts w:ascii="Arial"/>
          <w:sz w:val="10"/>
        </w:rPr>
      </w:pPr>
      <w:r>
        <w:rPr>
          <w:rFonts w:ascii="Arial"/>
          <w:color w:val="414042"/>
          <w:w w:val="100"/>
          <w:sz w:val="10"/>
        </w:rPr>
        <w:t>1</w:t>
      </w:r>
    </w:p>
    <w:p>
      <w:pPr>
        <w:pStyle w:val="BodyText"/>
        <w:spacing w:before="9"/>
        <w:rPr>
          <w:rFonts w:ascii="Arial"/>
          <w:sz w:val="9"/>
        </w:rPr>
      </w:pPr>
    </w:p>
    <w:p>
      <w:pPr>
        <w:spacing w:before="1"/>
        <w:ind w:left="0" w:right="0" w:firstLine="0"/>
        <w:jc w:val="right"/>
        <w:rPr>
          <w:rFonts w:ascii="Arial"/>
          <w:sz w:val="10"/>
        </w:rPr>
      </w:pPr>
      <w:r>
        <w:rPr>
          <w:rFonts w:ascii="Arial"/>
          <w:color w:val="414042"/>
          <w:sz w:val="10"/>
        </w:rPr>
        <w:t>1.5</w:t>
      </w:r>
    </w:p>
    <w:p>
      <w:pPr>
        <w:spacing w:before="16"/>
        <w:ind w:left="0" w:right="6" w:firstLine="0"/>
        <w:jc w:val="right"/>
        <w:rPr>
          <w:rFonts w:ascii="Arial"/>
          <w:sz w:val="10"/>
        </w:rPr>
      </w:pPr>
      <w:r>
        <w:rPr>
          <w:rFonts w:ascii="Arial"/>
          <w:color w:val="414042"/>
          <w:w w:val="100"/>
          <w:sz w:val="10"/>
        </w:rPr>
        <w:t>1</w:t>
      </w:r>
    </w:p>
    <w:p>
      <w:pPr>
        <w:spacing w:before="20"/>
        <w:ind w:left="0" w:right="9" w:firstLine="0"/>
        <w:jc w:val="right"/>
        <w:rPr>
          <w:rFonts w:ascii="Arial"/>
          <w:sz w:val="10"/>
        </w:rPr>
      </w:pPr>
      <w:r>
        <w:rPr>
          <w:rFonts w:ascii="Arial"/>
          <w:color w:val="414042"/>
          <w:sz w:val="10"/>
        </w:rPr>
        <w:t>0.5</w:t>
      </w:r>
    </w:p>
    <w:p>
      <w:pPr>
        <w:pStyle w:val="BodyText"/>
        <w:spacing w:before="8"/>
        <w:rPr>
          <w:rFonts w:ascii="Arial"/>
          <w:sz w:val="12"/>
        </w:rPr>
      </w:pPr>
    </w:p>
    <w:p>
      <w:pPr>
        <w:spacing w:line="112" w:lineRule="exact" w:before="1"/>
        <w:ind w:left="0" w:right="20" w:firstLine="0"/>
        <w:jc w:val="right"/>
        <w:rPr>
          <w:rFonts w:ascii="Arial"/>
          <w:sz w:val="10"/>
        </w:rPr>
      </w:pPr>
      <w:r>
        <w:rPr>
          <w:rFonts w:ascii="Arial"/>
          <w:color w:val="414042"/>
          <w:sz w:val="10"/>
        </w:rPr>
        <w:t>80</w:t>
      </w:r>
    </w:p>
    <w:p>
      <w:pPr>
        <w:spacing w:line="111" w:lineRule="exact" w:before="0"/>
        <w:ind w:left="0" w:right="24" w:firstLine="0"/>
        <w:jc w:val="right"/>
        <w:rPr>
          <w:rFonts w:ascii="Arial"/>
          <w:sz w:val="10"/>
        </w:rPr>
      </w:pPr>
      <w:r>
        <w:rPr>
          <w:rFonts w:ascii="Arial"/>
          <w:color w:val="414042"/>
          <w:sz w:val="10"/>
        </w:rPr>
        <w:t>60</w:t>
      </w:r>
    </w:p>
    <w:p>
      <w:pPr>
        <w:spacing w:line="114" w:lineRule="exact" w:before="0"/>
        <w:ind w:left="0" w:right="22" w:firstLine="0"/>
        <w:jc w:val="right"/>
        <w:rPr>
          <w:rFonts w:ascii="Arial"/>
          <w:sz w:val="10"/>
        </w:rPr>
      </w:pPr>
      <w:r>
        <w:rPr>
          <w:rFonts w:ascii="Arial"/>
          <w:color w:val="414042"/>
          <w:sz w:val="10"/>
        </w:rPr>
        <w:t>40</w:t>
      </w:r>
    </w:p>
    <w:p>
      <w:pPr>
        <w:spacing w:before="0"/>
        <w:ind w:left="0" w:right="26" w:firstLine="0"/>
        <w:jc w:val="right"/>
        <w:rPr>
          <w:rFonts w:ascii="Arial"/>
          <w:sz w:val="10"/>
        </w:rPr>
      </w:pPr>
      <w:r>
        <w:rPr>
          <w:rFonts w:ascii="Arial"/>
          <w:color w:val="414042"/>
          <w:sz w:val="10"/>
        </w:rPr>
        <w:t>20</w:t>
      </w:r>
    </w:p>
    <w:p>
      <w:pPr>
        <w:pStyle w:val="BodyText"/>
        <w:spacing w:before="8"/>
        <w:rPr>
          <w:rFonts w:ascii="Arial"/>
          <w:sz w:val="11"/>
        </w:rPr>
      </w:pPr>
    </w:p>
    <w:p>
      <w:pPr>
        <w:spacing w:before="0"/>
        <w:ind w:left="0" w:right="15" w:firstLine="0"/>
        <w:jc w:val="right"/>
        <w:rPr>
          <w:rFonts w:ascii="Arial"/>
          <w:sz w:val="10"/>
        </w:rPr>
      </w:pPr>
      <w:r>
        <w:rPr>
          <w:rFonts w:ascii="Arial"/>
          <w:color w:val="414042"/>
          <w:w w:val="100"/>
          <w:sz w:val="10"/>
        </w:rPr>
        <w:t>3</w:t>
      </w:r>
    </w:p>
    <w:p>
      <w:pPr>
        <w:spacing w:before="11"/>
        <w:ind w:left="0" w:right="10" w:firstLine="0"/>
        <w:jc w:val="right"/>
        <w:rPr>
          <w:rFonts w:ascii="Arial"/>
          <w:sz w:val="10"/>
        </w:rPr>
      </w:pPr>
      <w:r>
        <w:rPr>
          <w:rFonts w:ascii="Arial"/>
          <w:color w:val="414042"/>
          <w:w w:val="100"/>
          <w:sz w:val="10"/>
        </w:rPr>
        <w:t>2</w:t>
      </w:r>
    </w:p>
    <w:p>
      <w:pPr>
        <w:spacing w:before="16"/>
        <w:ind w:left="0" w:right="11" w:firstLine="0"/>
        <w:jc w:val="right"/>
        <w:rPr>
          <w:rFonts w:ascii="Arial"/>
          <w:sz w:val="10"/>
        </w:rPr>
      </w:pPr>
      <w:r>
        <w:rPr>
          <w:rFonts w:ascii="Arial"/>
          <w:color w:val="414042"/>
          <w:w w:val="100"/>
          <w:sz w:val="10"/>
        </w:rPr>
        <w:t>1</w:t>
      </w:r>
    </w:p>
    <w:p>
      <w:pPr>
        <w:spacing w:line="296" w:lineRule="exact" w:before="190"/>
        <w:ind w:left="0" w:right="1090" w:firstLine="0"/>
        <w:jc w:val="right"/>
        <w:rPr>
          <w:rFonts w:ascii="Arial"/>
          <w:sz w:val="27"/>
        </w:rPr>
      </w:pPr>
      <w:r>
        <w:rPr/>
        <w:br w:type="column"/>
      </w:r>
      <w:r>
        <w:rPr>
          <w:rFonts w:ascii="Arial"/>
          <w:color w:val="231F20"/>
          <w:w w:val="95"/>
          <w:sz w:val="27"/>
        </w:rPr>
        <w:t>A</w:t>
      </w:r>
    </w:p>
    <w:p>
      <w:pPr>
        <w:spacing w:line="161" w:lineRule="exact" w:before="0"/>
        <w:ind w:left="740" w:right="1291" w:firstLine="0"/>
        <w:jc w:val="center"/>
        <w:rPr>
          <w:rFonts w:ascii="Arial"/>
          <w:sz w:val="11"/>
        </w:rPr>
      </w:pPr>
      <w:r>
        <w:rPr/>
        <w:pict>
          <v:group style="position:absolute;margin-left:411.838013pt;margin-top:-9.665608pt;width:63.1pt;height:134.950pt;mso-position-horizontal-relative:page;mso-position-vertical-relative:paragraph;z-index:4408" coordorigin="8237,-193" coordsize="1262,2699">
            <v:shape style="position:absolute;left:8258;top:1973;width:1237;height:2" coordorigin="8259,1973" coordsize="1237,0" path="m9434,1973l9495,1973m8259,1973l9328,1973e" filled="false" stroked="true" strokeweight=".24pt" strokecolor="#231f20">
              <v:path arrowok="t"/>
              <v:stroke dashstyle="solid"/>
            </v:shape>
            <v:shape style="position:absolute;left:0;top:12178;width:1237;height:2694" coordorigin="0,12179" coordsize="1237,2694" path="m8259,1417l9495,1417m8259,878l9495,878m8259,357l9495,357m8259,-191l9495,-191,9495,2503,8259,2503,8259,-191xe" filled="false" stroked="true" strokeweight=".24pt" strokecolor="#231f20">
              <v:path arrowok="t"/>
              <v:stroke dashstyle="solid"/>
            </v:shape>
            <v:line style="position:absolute" from="8378,-85" to="8378,357" stroked="true" strokeweight="5.741pt" strokecolor="#00a650">
              <v:stroke dashstyle="solid"/>
            </v:line>
            <v:rect style="position:absolute;left:8320;top:-85;width:115;height:442" filled="false" stroked="true" strokeweight=".241pt" strokecolor="#231f20">
              <v:stroke dashstyle="solid"/>
            </v:rect>
            <v:line style="position:absolute" from="8626,-58" to="8626,357" stroked="true" strokeweight="5.741pt" strokecolor="#a6ce39">
              <v:stroke dashstyle="solid"/>
            </v:line>
            <v:rect style="position:absolute;left:8568;top:-59;width:115;height:416" filled="false" stroked="true" strokeweight=".241pt" strokecolor="#231f20">
              <v:stroke dashstyle="solid"/>
            </v:rect>
            <v:line style="position:absolute" from="8877,-23" to="8877,357" stroked="true" strokeweight="5.299pt" strokecolor="#adbc72">
              <v:stroke dashstyle="solid"/>
            </v:line>
            <v:rect style="position:absolute;left:8824;top:-24;width:106;height:380" filled="false" stroked="true" strokeweight=".241pt" strokecolor="#231f20">
              <v:stroke dashstyle="solid"/>
            </v:rect>
            <v:line style="position:absolute" from="9129,56" to="9129,357" stroked="true" strokeweight="5.742pt" strokecolor="#fff200">
              <v:stroke dashstyle="solid"/>
            </v:line>
            <v:rect style="position:absolute;left:9071;top:56;width:115;height:301" filled="false" stroked="true" strokeweight=".241pt" strokecolor="#231f20">
              <v:stroke dashstyle="solid"/>
            </v:rect>
            <v:line style="position:absolute" from="9381,118" to="9381,357" stroked="true" strokeweight="5.301pt" strokecolor="#fff9ae">
              <v:stroke dashstyle="solid"/>
            </v:line>
            <v:rect style="position:absolute;left:9327;top:118;width:107;height:239" filled="false" stroked="true" strokeweight=".241pt" strokecolor="#231f20">
              <v:stroke dashstyle="solid"/>
            </v:rect>
            <v:line style="position:absolute" from="8378,710" to="8378,878" stroked="true" strokeweight="5.741pt" strokecolor="#00a650">
              <v:stroke dashstyle="solid"/>
            </v:line>
            <v:rect style="position:absolute;left:8320;top:709;width:115;height:168" filled="false" stroked="true" strokeweight=".241pt" strokecolor="#231f20">
              <v:stroke dashstyle="solid"/>
            </v:rect>
            <v:line style="position:absolute" from="8626,525" to="8626,878" stroked="true" strokeweight="5.741pt" strokecolor="#a6ce39">
              <v:stroke dashstyle="solid"/>
            </v:line>
            <v:rect style="position:absolute;left:8568;top:524;width:115;height:354" filled="false" stroked="true" strokeweight=".241pt" strokecolor="#231f20">
              <v:stroke dashstyle="solid"/>
            </v:rect>
            <v:line style="position:absolute" from="8877,666" to="8877,878" stroked="true" strokeweight="5.299pt" strokecolor="#adbc72">
              <v:stroke dashstyle="solid"/>
            </v:line>
            <v:rect style="position:absolute;left:8824;top:665;width:106;height:212" filled="false" stroked="true" strokeweight=".241pt" strokecolor="#231f20">
              <v:stroke dashstyle="solid"/>
            </v:rect>
            <v:line style="position:absolute" from="9133,392" to="9133,878" stroked="true" strokeweight="6.183pt" strokecolor="#fff200">
              <v:stroke dashstyle="solid"/>
            </v:line>
            <v:rect style="position:absolute;left:9071;top:392;width:124;height:486" filled="false" stroked="true" strokeweight=".241pt" strokecolor="#231f20">
              <v:stroke dashstyle="solid"/>
            </v:rect>
            <v:line style="position:absolute" from="9381,904" to="9381,1408" stroked="true" strokeweight="5.301pt" strokecolor="#fff9ae">
              <v:stroke dashstyle="solid"/>
            </v:line>
            <v:rect style="position:absolute;left:9327;top:904;width:107;height:504" filled="false" stroked="true" strokeweight=".241pt" strokecolor="#231f20">
              <v:stroke dashstyle="solid"/>
            </v:rect>
            <v:line style="position:absolute" from="8877,922" to="8877,1417" stroked="true" strokeweight="5.299pt" strokecolor="#adbc72">
              <v:stroke dashstyle="solid"/>
            </v:line>
            <v:rect style="position:absolute;left:8824;top:921;width:106;height:495" filled="false" stroked="true" strokeweight=".241pt" strokecolor="#231f20">
              <v:stroke dashstyle="solid"/>
            </v:rect>
            <v:line style="position:absolute" from="9133,1452" to="9133,1973" stroked="true" strokeweight="6.183pt" strokecolor="#fff200">
              <v:stroke dashstyle="solid"/>
            </v:line>
            <v:rect style="position:absolute;left:9071;top:1451;width:124;height:522" filled="false" stroked="true" strokeweight=".241pt" strokecolor="#231f20">
              <v:stroke dashstyle="solid"/>
            </v:rect>
            <v:line style="position:absolute" from="9381,1496" to="9381,1982" stroked="true" strokeweight="5.301pt" strokecolor="#fff9ae">
              <v:stroke dashstyle="solid"/>
            </v:line>
            <v:rect style="position:absolute;left:9327;top:1496;width:107;height:486" filled="false" stroked="true" strokeweight=".241pt" strokecolor="#231f20">
              <v:stroke dashstyle="solid"/>
            </v:rect>
            <v:line style="position:absolute" from="9381,516" to="9381,878" stroked="true" strokeweight="5.301pt" strokecolor="#fff9ae">
              <v:stroke dashstyle="solid"/>
            </v:line>
            <v:rect style="position:absolute;left:9327;top:515;width:107;height:363" filled="false" stroked="true" strokeweight=".241pt" strokecolor="#231f20">
              <v:stroke dashstyle="solid"/>
            </v:rect>
            <v:line style="position:absolute" from="8626,1213" to="8626,1417" stroked="true" strokeweight="5.741pt" strokecolor="#a6ce39">
              <v:stroke dashstyle="solid"/>
            </v:line>
            <v:rect style="position:absolute;left:8568;top:1213;width:115;height:204" filled="false" stroked="true" strokeweight=".241pt" strokecolor="#231f20">
              <v:stroke dashstyle="solid"/>
            </v:rect>
            <v:rect style="position:absolute;left:8320;top:1372;width:115;height:45" filled="true" fillcolor="#00a650" stroked="false">
              <v:fill type="solid"/>
            </v:rect>
            <v:rect style="position:absolute;left:8320;top:1372;width:115;height:45" filled="false" stroked="true" strokeweight=".241pt" strokecolor="#231f20">
              <v:stroke dashstyle="solid"/>
            </v:rect>
            <v:line style="position:absolute" from="8626,1761" to="8626,1973" stroked="true" strokeweight="5.741pt" strokecolor="#a6ce39">
              <v:stroke dashstyle="solid"/>
            </v:line>
            <v:rect style="position:absolute;left:8568;top:1761;width:115;height:212" filled="false" stroked="true" strokeweight=".241pt" strokecolor="#231f20">
              <v:stroke dashstyle="solid"/>
            </v:rect>
            <v:rect style="position:absolute;left:8824;top:1867;width:106;height:106" filled="true" fillcolor="#adbc72" stroked="false">
              <v:fill type="solid"/>
            </v:rect>
            <v:rect style="position:absolute;left:8824;top:1867;width:106;height:106" filled="false" stroked="true" strokeweight=".241pt" strokecolor="#231f20">
              <v:stroke dashstyle="solid"/>
            </v:rect>
            <v:rect style="position:absolute;left:8320;top:1849;width:115;height:124" filled="true" fillcolor="#00a650" stroked="false">
              <v:fill type="solid"/>
            </v:rect>
            <v:rect style="position:absolute;left:8320;top:1849;width:115;height:124" filled="false" stroked="true" strokeweight=".241pt" strokecolor="#231f20">
              <v:stroke dashstyle="solid"/>
            </v:rect>
            <v:line style="position:absolute" from="8378,2185" to="8378,2503" stroked="true" strokeweight="5.741pt" strokecolor="#00a650">
              <v:stroke dashstyle="solid"/>
            </v:line>
            <v:rect style="position:absolute;left:8320;top:2184;width:115;height:318" filled="false" stroked="true" strokeweight=".241pt" strokecolor="#231f20">
              <v:stroke dashstyle="solid"/>
            </v:rect>
            <v:line style="position:absolute" from="8626,2309" to="8626,2503" stroked="true" strokeweight="5.741pt" strokecolor="#a6ce39">
              <v:stroke dashstyle="solid"/>
            </v:line>
            <v:rect style="position:absolute;left:8568;top:2308;width:115;height:195" filled="false" stroked="true" strokeweight=".241pt" strokecolor="#231f20">
              <v:stroke dashstyle="solid"/>
            </v:rect>
            <v:rect style="position:absolute;left:8824;top:2388;width:106;height:115" filled="true" fillcolor="#adbc72" stroked="false">
              <v:fill type="solid"/>
            </v:rect>
            <v:rect style="position:absolute;left:8824;top:2388;width:106;height:115" filled="false" stroked="true" strokeweight=".241pt" strokecolor="#231f20">
              <v:stroke dashstyle="solid"/>
            </v:rect>
            <v:line style="position:absolute" from="9133,2247" to="9133,2503" stroked="true" strokeweight="6.183pt" strokecolor="#fff200">
              <v:stroke dashstyle="solid"/>
            </v:line>
            <v:rect style="position:absolute;left:9071;top:2246;width:124;height:257" filled="false" stroked="true" strokeweight=".241pt" strokecolor="#231f20">
              <v:stroke dashstyle="solid"/>
            </v:rect>
            <v:line style="position:absolute" from="9381,2353" to="9381,2503" stroked="true" strokeweight="5.301pt" strokecolor="#fff9ae">
              <v:stroke dashstyle="solid"/>
            </v:line>
            <v:rect style="position:absolute;left:9327;top:2352;width:107;height:151" filled="false" stroked="true" strokeweight=".241pt" strokecolor="#231f20">
              <v:stroke dashstyle="solid"/>
            </v:rect>
            <v:line style="position:absolute" from="9133,966" to="9133,1417" stroked="true" strokeweight="6.183pt" strokecolor="#fff200">
              <v:stroke dashstyle="solid"/>
            </v:line>
            <v:shape style="position:absolute;left:8236;top:-77;width:959;height:2457" coordorigin="8237,-77" coordsize="959,2457" path="m9072,966l9195,966,9195,1417,9072,1417,9072,966xm8240,2380l8268,2380m8241,2248l8269,2248m8242,2117l8270,2117m8246,1872l8274,1872m8244,1760l8272,1760m8245,1648l8273,1648m8241,1538l8269,1538m8237,1273l8265,1273m8243,1133l8271,1133m8237,1000l8265,1000m8248,788l8276,788m8252,691l8280,691m8248,604l8276,604m8246,605l8274,605m8245,525l8273,525m8246,435l8274,435m8244,240l8272,240m8245,138l8273,138m8244,28l8272,28m8245,-77l8273,-77e" filled="false" stroked="true" strokeweight=".241pt" strokecolor="#231f20">
              <v:path arrowok="t"/>
              <v:stroke dashstyle="solid"/>
            </v:shape>
            <v:shape style="position:absolute;left:8964;top:-161;width:522;height:128" type="#_x0000_t202" filled="false" stroked="false">
              <v:textbox inset="0,0,0,0">
                <w:txbxContent>
                  <w:p>
                    <w:pPr>
                      <w:spacing w:before="0"/>
                      <w:ind w:left="0" w:right="0" w:firstLine="0"/>
                      <w:jc w:val="left"/>
                      <w:rPr>
                        <w:rFonts w:ascii="Arial"/>
                        <w:sz w:val="11"/>
                      </w:rPr>
                    </w:pPr>
                    <w:r>
                      <w:rPr>
                        <w:rFonts w:ascii="Arial"/>
                        <w:color w:val="414042"/>
                        <w:w w:val="105"/>
                        <w:sz w:val="11"/>
                      </w:rPr>
                      <w:t>Cu (wt.%)</w:t>
                    </w:r>
                  </w:p>
                </w:txbxContent>
              </v:textbox>
              <w10:wrap type="none"/>
            </v:shape>
            <v:shape style="position:absolute;left:8352;top:375;width:509;height:128" type="#_x0000_t202" filled="false" stroked="false">
              <v:textbox inset="0,0,0,0">
                <w:txbxContent>
                  <w:p>
                    <w:pPr>
                      <w:spacing w:before="0"/>
                      <w:ind w:left="0" w:right="0" w:firstLine="0"/>
                      <w:jc w:val="left"/>
                      <w:rPr>
                        <w:rFonts w:ascii="Arial"/>
                        <w:sz w:val="11"/>
                      </w:rPr>
                    </w:pPr>
                    <w:r>
                      <w:rPr>
                        <w:rFonts w:ascii="Arial"/>
                        <w:color w:val="414042"/>
                        <w:w w:val="105"/>
                        <w:sz w:val="11"/>
                      </w:rPr>
                      <w:t>Zn (wt.%)</w:t>
                    </w:r>
                  </w:p>
                </w:txbxContent>
              </v:textbox>
              <w10:wrap type="none"/>
            </v:shape>
            <v:shape style="position:absolute;left:8291;top:935;width:516;height:128" type="#_x0000_t202" filled="false" stroked="false">
              <v:textbox inset="0,0,0,0">
                <w:txbxContent>
                  <w:p>
                    <w:pPr>
                      <w:spacing w:before="0"/>
                      <w:ind w:left="0" w:right="0" w:firstLine="0"/>
                      <w:jc w:val="left"/>
                      <w:rPr>
                        <w:rFonts w:ascii="Arial"/>
                        <w:sz w:val="11"/>
                      </w:rPr>
                    </w:pPr>
                    <w:r>
                      <w:rPr>
                        <w:rFonts w:ascii="Arial"/>
                        <w:color w:val="414042"/>
                        <w:w w:val="105"/>
                        <w:sz w:val="11"/>
                      </w:rPr>
                      <w:t>Pb (wt.%)</w:t>
                    </w:r>
                  </w:p>
                </w:txbxContent>
              </v:textbox>
              <w10:wrap type="none"/>
            </v:shape>
            <v:shape style="position:absolute;left:8417;top:1508;width:608;height:641" type="#_x0000_t202" filled="false" stroked="false">
              <v:textbox inset="0,0,0,0">
                <w:txbxContent>
                  <w:p>
                    <w:pPr>
                      <w:spacing w:before="0"/>
                      <w:ind w:left="0" w:right="0" w:firstLine="0"/>
                      <w:jc w:val="left"/>
                      <w:rPr>
                        <w:rFonts w:ascii="Arial"/>
                        <w:sz w:val="11"/>
                      </w:rPr>
                    </w:pPr>
                    <w:r>
                      <w:rPr>
                        <w:rFonts w:ascii="Arial"/>
                        <w:color w:val="414042"/>
                        <w:w w:val="105"/>
                        <w:sz w:val="11"/>
                      </w:rPr>
                      <w:t>Ag (g/t)</w:t>
                    </w:r>
                  </w:p>
                  <w:p>
                    <w:pPr>
                      <w:spacing w:line="240" w:lineRule="auto" w:before="0"/>
                      <w:rPr>
                        <w:sz w:val="12"/>
                      </w:rPr>
                    </w:pPr>
                  </w:p>
                  <w:p>
                    <w:pPr>
                      <w:spacing w:line="240" w:lineRule="auto" w:before="0"/>
                      <w:rPr>
                        <w:sz w:val="12"/>
                      </w:rPr>
                    </w:pPr>
                  </w:p>
                  <w:p>
                    <w:pPr>
                      <w:spacing w:line="240" w:lineRule="auto" w:before="7"/>
                      <w:rPr>
                        <w:sz w:val="9"/>
                      </w:rPr>
                    </w:pPr>
                  </w:p>
                  <w:p>
                    <w:pPr>
                      <w:spacing w:before="0"/>
                      <w:ind w:left="213" w:right="0" w:firstLine="0"/>
                      <w:jc w:val="left"/>
                      <w:rPr>
                        <w:rFonts w:ascii="Arial"/>
                        <w:sz w:val="11"/>
                      </w:rPr>
                    </w:pPr>
                    <w:r>
                      <w:rPr>
                        <w:rFonts w:ascii="Arial"/>
                        <w:color w:val="414042"/>
                        <w:w w:val="105"/>
                        <w:sz w:val="11"/>
                      </w:rPr>
                      <w:t>Au (g/t)</w:t>
                    </w:r>
                  </w:p>
                </w:txbxContent>
              </v:textbox>
              <w10:wrap type="none"/>
            </v:shape>
            <w10:wrap type="none"/>
          </v:group>
        </w:pict>
      </w:r>
      <w:r>
        <w:rPr>
          <w:position w:val="-4"/>
        </w:rPr>
        <w:drawing>
          <wp:inline distT="0" distB="0" distL="0" distR="0">
            <wp:extent cx="186042" cy="118262"/>
            <wp:effectExtent l="0" t="0" r="0" b="0"/>
            <wp:docPr id="35" name="image121.png" descr=""/>
            <wp:cNvGraphicFramePr>
              <a:graphicFrameLocks noChangeAspect="1"/>
            </wp:cNvGraphicFramePr>
            <a:graphic>
              <a:graphicData uri="http://schemas.openxmlformats.org/drawingml/2006/picture">
                <pic:pic>
                  <pic:nvPicPr>
                    <pic:cNvPr id="36" name="image121.png"/>
                    <pic:cNvPicPr/>
                  </pic:nvPicPr>
                  <pic:blipFill>
                    <a:blip r:embed="rId130" cstate="print"/>
                    <a:stretch>
                      <a:fillRect/>
                    </a:stretch>
                  </pic:blipFill>
                  <pic:spPr>
                    <a:xfrm>
                      <a:off x="0" y="0"/>
                      <a:ext cx="186042" cy="118262"/>
                    </a:xfrm>
                    <a:prstGeom prst="rect">
                      <a:avLst/>
                    </a:prstGeom>
                  </pic:spPr>
                </pic:pic>
              </a:graphicData>
            </a:graphic>
          </wp:inline>
        </w:drawing>
      </w:r>
      <w:r>
        <w:rPr>
          <w:position w:val="-4"/>
        </w:rPr>
      </w:r>
      <w:r>
        <w:rPr>
          <w:spacing w:val="11"/>
          <w:sz w:val="20"/>
        </w:rPr>
        <w:t> </w:t>
      </w:r>
      <w:r>
        <w:rPr>
          <w:rFonts w:ascii="Arial"/>
          <w:color w:val="414042"/>
          <w:w w:val="105"/>
          <w:sz w:val="11"/>
        </w:rPr>
        <w:t>MAFIC</w:t>
      </w:r>
    </w:p>
    <w:p>
      <w:pPr>
        <w:spacing w:line="115" w:lineRule="exact" w:before="0"/>
        <w:ind w:left="1324" w:right="1089" w:firstLine="0"/>
        <w:jc w:val="center"/>
        <w:rPr>
          <w:rFonts w:ascii="Arial"/>
          <w:sz w:val="11"/>
        </w:rPr>
      </w:pPr>
      <w:r>
        <w:rPr>
          <w:rFonts w:ascii="Arial"/>
          <w:color w:val="414042"/>
          <w:w w:val="105"/>
          <w:sz w:val="11"/>
        </w:rPr>
        <w:t>(Ophiolite type)</w:t>
      </w:r>
    </w:p>
    <w:p>
      <w:pPr>
        <w:spacing w:before="5"/>
        <w:ind w:left="1694" w:right="0" w:firstLine="0"/>
        <w:jc w:val="left"/>
        <w:rPr>
          <w:rFonts w:ascii="Arial"/>
          <w:sz w:val="11"/>
        </w:rPr>
      </w:pPr>
      <w:r>
        <w:rPr>
          <w:rFonts w:ascii="Arial"/>
          <w:color w:val="414042"/>
          <w:w w:val="105"/>
          <w:sz w:val="11"/>
        </w:rPr>
        <w:t>e.g. Troodos, Cyprus</w:t>
      </w:r>
    </w:p>
    <w:p>
      <w:pPr>
        <w:pStyle w:val="BodyText"/>
        <w:spacing w:before="6"/>
        <w:rPr>
          <w:rFonts w:ascii="Arial"/>
          <w:sz w:val="11"/>
        </w:rPr>
      </w:pPr>
    </w:p>
    <w:p>
      <w:pPr>
        <w:spacing w:line="170" w:lineRule="exact" w:before="0"/>
        <w:ind w:left="1307" w:right="1291" w:firstLine="0"/>
        <w:jc w:val="center"/>
        <w:rPr>
          <w:rFonts w:ascii="Arial"/>
          <w:sz w:val="11"/>
        </w:rPr>
      </w:pPr>
      <w:r>
        <w:rPr>
          <w:position w:val="-5"/>
        </w:rPr>
        <w:drawing>
          <wp:inline distT="0" distB="0" distL="0" distR="0">
            <wp:extent cx="186016" cy="118275"/>
            <wp:effectExtent l="0" t="0" r="0" b="0"/>
            <wp:docPr id="37" name="image122.png" descr=""/>
            <wp:cNvGraphicFramePr>
              <a:graphicFrameLocks noChangeAspect="1"/>
            </wp:cNvGraphicFramePr>
            <a:graphic>
              <a:graphicData uri="http://schemas.openxmlformats.org/drawingml/2006/picture">
                <pic:pic>
                  <pic:nvPicPr>
                    <pic:cNvPr id="38" name="image122.png"/>
                    <pic:cNvPicPr/>
                  </pic:nvPicPr>
                  <pic:blipFill>
                    <a:blip r:embed="rId131" cstate="print"/>
                    <a:stretch>
                      <a:fillRect/>
                    </a:stretch>
                  </pic:blipFill>
                  <pic:spPr>
                    <a:xfrm>
                      <a:off x="0" y="0"/>
                      <a:ext cx="186016" cy="118275"/>
                    </a:xfrm>
                    <a:prstGeom prst="rect">
                      <a:avLst/>
                    </a:prstGeom>
                  </pic:spPr>
                </pic:pic>
              </a:graphicData>
            </a:graphic>
          </wp:inline>
        </w:drawing>
      </w:r>
      <w:r>
        <w:rPr>
          <w:position w:val="-5"/>
        </w:rPr>
      </w:r>
      <w:r>
        <w:rPr>
          <w:spacing w:val="11"/>
          <w:sz w:val="20"/>
        </w:rPr>
        <w:t> </w:t>
      </w:r>
      <w:r>
        <w:rPr>
          <w:rFonts w:ascii="Arial"/>
          <w:color w:val="414042"/>
          <w:w w:val="105"/>
          <w:sz w:val="11"/>
        </w:rPr>
        <w:t>BIMODAL-MAFIC</w:t>
      </w:r>
    </w:p>
    <w:p>
      <w:pPr>
        <w:spacing w:line="110" w:lineRule="exact" w:before="0"/>
        <w:ind w:left="1694" w:right="0" w:firstLine="0"/>
        <w:jc w:val="left"/>
        <w:rPr>
          <w:rFonts w:ascii="Arial"/>
          <w:sz w:val="11"/>
        </w:rPr>
      </w:pPr>
      <w:r>
        <w:rPr>
          <w:rFonts w:ascii="Arial"/>
          <w:color w:val="414042"/>
          <w:w w:val="105"/>
          <w:sz w:val="11"/>
        </w:rPr>
        <w:t>e.g. Preiska,</w:t>
      </w:r>
    </w:p>
    <w:p>
      <w:pPr>
        <w:spacing w:before="15"/>
        <w:ind w:left="1324" w:right="1136" w:firstLine="0"/>
        <w:jc w:val="center"/>
        <w:rPr>
          <w:rFonts w:ascii="Arial"/>
          <w:sz w:val="11"/>
        </w:rPr>
      </w:pPr>
      <w:r>
        <w:rPr>
          <w:rFonts w:ascii="Arial"/>
          <w:color w:val="414042"/>
          <w:w w:val="105"/>
          <w:sz w:val="11"/>
        </w:rPr>
        <w:t>South Africa &amp;</w:t>
      </w:r>
    </w:p>
    <w:p>
      <w:pPr>
        <w:spacing w:before="15"/>
        <w:ind w:left="1694" w:right="0" w:firstLine="0"/>
        <w:jc w:val="left"/>
        <w:rPr>
          <w:rFonts w:ascii="Arial"/>
          <w:sz w:val="11"/>
        </w:rPr>
      </w:pPr>
      <w:r>
        <w:rPr>
          <w:rFonts w:ascii="Arial"/>
          <w:color w:val="414042"/>
          <w:w w:val="105"/>
          <w:sz w:val="11"/>
        </w:rPr>
        <w:t>San Nicolas, Mexico</w:t>
      </w:r>
    </w:p>
    <w:p>
      <w:pPr>
        <w:pStyle w:val="BodyText"/>
        <w:spacing w:before="3"/>
        <w:rPr>
          <w:rFonts w:ascii="Arial"/>
          <w:sz w:val="10"/>
        </w:rPr>
      </w:pPr>
    </w:p>
    <w:p>
      <w:pPr>
        <w:spacing w:line="168" w:lineRule="auto" w:before="0"/>
        <w:ind w:left="1691" w:right="1434" w:hanging="353"/>
        <w:jc w:val="left"/>
        <w:rPr>
          <w:rFonts w:ascii="Arial"/>
          <w:sz w:val="11"/>
        </w:rPr>
      </w:pPr>
      <w:r>
        <w:rPr>
          <w:position w:val="-8"/>
        </w:rPr>
        <w:drawing>
          <wp:inline distT="0" distB="0" distL="0" distR="0">
            <wp:extent cx="186042" cy="118262"/>
            <wp:effectExtent l="0" t="0" r="0" b="0"/>
            <wp:docPr id="39" name="image123.png" descr=""/>
            <wp:cNvGraphicFramePr>
              <a:graphicFrameLocks noChangeAspect="1"/>
            </wp:cNvGraphicFramePr>
            <a:graphic>
              <a:graphicData uri="http://schemas.openxmlformats.org/drawingml/2006/picture">
                <pic:pic>
                  <pic:nvPicPr>
                    <pic:cNvPr id="40" name="image123.png"/>
                    <pic:cNvPicPr/>
                  </pic:nvPicPr>
                  <pic:blipFill>
                    <a:blip r:embed="rId132" cstate="print"/>
                    <a:stretch>
                      <a:fillRect/>
                    </a:stretch>
                  </pic:blipFill>
                  <pic:spPr>
                    <a:xfrm>
                      <a:off x="0" y="0"/>
                      <a:ext cx="186042" cy="118262"/>
                    </a:xfrm>
                    <a:prstGeom prst="rect">
                      <a:avLst/>
                    </a:prstGeom>
                  </pic:spPr>
                </pic:pic>
              </a:graphicData>
            </a:graphic>
          </wp:inline>
        </w:drawing>
      </w:r>
      <w:r>
        <w:rPr>
          <w:position w:val="-8"/>
        </w:rPr>
      </w:r>
      <w:r>
        <w:rPr>
          <w:spacing w:val="8"/>
          <w:sz w:val="20"/>
        </w:rPr>
        <w:t> </w:t>
      </w:r>
      <w:r>
        <w:rPr>
          <w:rFonts w:ascii="Arial"/>
          <w:color w:val="414042"/>
          <w:w w:val="105"/>
          <w:sz w:val="11"/>
        </w:rPr>
        <w:t>MAFIC- SILICICLASTIC</w:t>
      </w:r>
    </w:p>
    <w:p>
      <w:pPr>
        <w:spacing w:before="12"/>
        <w:ind w:left="1691" w:right="0" w:firstLine="0"/>
        <w:jc w:val="left"/>
        <w:rPr>
          <w:rFonts w:ascii="Arial"/>
          <w:sz w:val="11"/>
        </w:rPr>
      </w:pPr>
      <w:r>
        <w:rPr>
          <w:rFonts w:ascii="Arial"/>
          <w:color w:val="414042"/>
          <w:w w:val="105"/>
          <w:sz w:val="11"/>
        </w:rPr>
        <w:t>e.g. Besshi, Japan</w:t>
      </w:r>
    </w:p>
    <w:p>
      <w:pPr>
        <w:pStyle w:val="BodyText"/>
        <w:spacing w:before="4"/>
        <w:rPr>
          <w:rFonts w:ascii="Arial"/>
          <w:sz w:val="10"/>
        </w:rPr>
      </w:pPr>
    </w:p>
    <w:p>
      <w:pPr>
        <w:spacing w:line="174" w:lineRule="exact" w:before="0"/>
        <w:ind w:left="1324" w:right="1286" w:firstLine="0"/>
        <w:jc w:val="center"/>
        <w:rPr>
          <w:rFonts w:ascii="Arial"/>
          <w:sz w:val="11"/>
        </w:rPr>
      </w:pPr>
      <w:r>
        <w:rPr>
          <w:position w:val="-4"/>
        </w:rPr>
        <w:drawing>
          <wp:inline distT="0" distB="0" distL="0" distR="0">
            <wp:extent cx="186016" cy="118262"/>
            <wp:effectExtent l="0" t="0" r="0" b="0"/>
            <wp:docPr id="41" name="image124.png" descr=""/>
            <wp:cNvGraphicFramePr>
              <a:graphicFrameLocks noChangeAspect="1"/>
            </wp:cNvGraphicFramePr>
            <a:graphic>
              <a:graphicData uri="http://schemas.openxmlformats.org/drawingml/2006/picture">
                <pic:pic>
                  <pic:nvPicPr>
                    <pic:cNvPr id="42" name="image124.png"/>
                    <pic:cNvPicPr/>
                  </pic:nvPicPr>
                  <pic:blipFill>
                    <a:blip r:embed="rId133" cstate="print"/>
                    <a:stretch>
                      <a:fillRect/>
                    </a:stretch>
                  </pic:blipFill>
                  <pic:spPr>
                    <a:xfrm>
                      <a:off x="0" y="0"/>
                      <a:ext cx="186016" cy="118262"/>
                    </a:xfrm>
                    <a:prstGeom prst="rect">
                      <a:avLst/>
                    </a:prstGeom>
                  </pic:spPr>
                </pic:pic>
              </a:graphicData>
            </a:graphic>
          </wp:inline>
        </w:drawing>
      </w:r>
      <w:r>
        <w:rPr>
          <w:position w:val="-4"/>
        </w:rPr>
      </w:r>
      <w:r>
        <w:rPr>
          <w:spacing w:val="-12"/>
          <w:sz w:val="20"/>
        </w:rPr>
        <w:t> </w:t>
      </w:r>
      <w:r>
        <w:rPr>
          <w:rFonts w:ascii="Arial"/>
          <w:color w:val="414042"/>
          <w:w w:val="105"/>
          <w:sz w:val="11"/>
        </w:rPr>
        <w:t>BIMODAL-FELSIC</w:t>
      </w:r>
    </w:p>
    <w:p>
      <w:pPr>
        <w:spacing w:line="114" w:lineRule="exact" w:before="0"/>
        <w:ind w:left="1670" w:right="0" w:firstLine="0"/>
        <w:jc w:val="left"/>
        <w:rPr>
          <w:rFonts w:ascii="Arial"/>
          <w:sz w:val="11"/>
        </w:rPr>
      </w:pPr>
      <w:r>
        <w:rPr>
          <w:rFonts w:ascii="Arial"/>
          <w:color w:val="414042"/>
          <w:w w:val="105"/>
          <w:sz w:val="11"/>
        </w:rPr>
        <w:t>e.g. Mount Lyell,</w:t>
      </w:r>
    </w:p>
    <w:p>
      <w:pPr>
        <w:spacing w:before="6"/>
        <w:ind w:left="1264" w:right="1291" w:firstLine="0"/>
        <w:jc w:val="center"/>
        <w:rPr>
          <w:rFonts w:ascii="Arial"/>
          <w:sz w:val="11"/>
        </w:rPr>
      </w:pPr>
      <w:r>
        <w:rPr>
          <w:rFonts w:ascii="Arial"/>
          <w:color w:val="414042"/>
          <w:w w:val="105"/>
          <w:sz w:val="11"/>
        </w:rPr>
        <w:t>Tasmania</w:t>
      </w:r>
    </w:p>
    <w:p>
      <w:pPr>
        <w:pStyle w:val="BodyText"/>
        <w:spacing w:before="4"/>
        <w:rPr>
          <w:rFonts w:ascii="Arial"/>
          <w:sz w:val="10"/>
        </w:rPr>
      </w:pPr>
    </w:p>
    <w:p>
      <w:pPr>
        <w:spacing w:line="187" w:lineRule="auto" w:before="0"/>
        <w:ind w:left="1707" w:right="913" w:hanging="369"/>
        <w:jc w:val="left"/>
        <w:rPr>
          <w:rFonts w:ascii="Arial"/>
          <w:sz w:val="11"/>
        </w:rPr>
      </w:pPr>
      <w:r>
        <w:rPr>
          <w:position w:val="-6"/>
        </w:rPr>
        <w:drawing>
          <wp:inline distT="0" distB="0" distL="0" distR="0">
            <wp:extent cx="186042" cy="118249"/>
            <wp:effectExtent l="0" t="0" r="0" b="0"/>
            <wp:docPr id="43" name="image125.png" descr=""/>
            <wp:cNvGraphicFramePr>
              <a:graphicFrameLocks noChangeAspect="1"/>
            </wp:cNvGraphicFramePr>
            <a:graphic>
              <a:graphicData uri="http://schemas.openxmlformats.org/drawingml/2006/picture">
                <pic:pic>
                  <pic:nvPicPr>
                    <pic:cNvPr id="44" name="image125.png"/>
                    <pic:cNvPicPr/>
                  </pic:nvPicPr>
                  <pic:blipFill>
                    <a:blip r:embed="rId134" cstate="print"/>
                    <a:stretch>
                      <a:fillRect/>
                    </a:stretch>
                  </pic:blipFill>
                  <pic:spPr>
                    <a:xfrm>
                      <a:off x="0" y="0"/>
                      <a:ext cx="186042" cy="118249"/>
                    </a:xfrm>
                    <a:prstGeom prst="rect">
                      <a:avLst/>
                    </a:prstGeom>
                  </pic:spPr>
                </pic:pic>
              </a:graphicData>
            </a:graphic>
          </wp:inline>
        </w:drawing>
      </w:r>
      <w:r>
        <w:rPr>
          <w:position w:val="-6"/>
        </w:rPr>
      </w:r>
      <w:r>
        <w:rPr>
          <w:sz w:val="20"/>
        </w:rPr>
        <w:t> </w:t>
      </w:r>
      <w:r>
        <w:rPr>
          <w:spacing w:val="-25"/>
          <w:sz w:val="20"/>
        </w:rPr>
        <w:t> </w:t>
      </w:r>
      <w:r>
        <w:rPr>
          <w:rFonts w:ascii="Arial"/>
          <w:color w:val="414042"/>
          <w:w w:val="105"/>
          <w:sz w:val="11"/>
        </w:rPr>
        <w:t>BIMODAL- </w:t>
      </w:r>
      <w:r>
        <w:rPr>
          <w:rFonts w:ascii="Arial"/>
          <w:color w:val="414042"/>
          <w:spacing w:val="-1"/>
          <w:w w:val="105"/>
          <w:sz w:val="11"/>
        </w:rPr>
        <w:t>SILICICLASTIC</w:t>
      </w:r>
    </w:p>
    <w:p>
      <w:pPr>
        <w:spacing w:line="268" w:lineRule="auto" w:before="11"/>
        <w:ind w:left="1707" w:right="1508" w:firstLine="0"/>
        <w:jc w:val="left"/>
        <w:rPr>
          <w:rFonts w:ascii="Arial"/>
          <w:sz w:val="11"/>
        </w:rPr>
      </w:pPr>
      <w:r>
        <w:rPr>
          <w:rFonts w:ascii="Arial"/>
          <w:color w:val="414042"/>
          <w:w w:val="105"/>
          <w:sz w:val="11"/>
        </w:rPr>
        <w:t>e.g. Rio Tinto, Spain</w:t>
      </w:r>
    </w:p>
    <w:p>
      <w:pPr>
        <w:spacing w:after="0" w:line="268" w:lineRule="auto"/>
        <w:jc w:val="left"/>
        <w:rPr>
          <w:rFonts w:ascii="Arial"/>
          <w:sz w:val="11"/>
        </w:rPr>
        <w:sectPr>
          <w:pgSz w:w="12240" w:h="15840"/>
          <w:pgMar w:header="673" w:footer="779" w:top="1000" w:bottom="960" w:left="0" w:right="0"/>
          <w:cols w:num="3" w:equalWidth="0">
            <w:col w:w="6522" w:space="215"/>
            <w:col w:w="1491" w:space="58"/>
            <w:col w:w="3954"/>
          </w:cols>
        </w:sectPr>
      </w:pPr>
    </w:p>
    <w:p>
      <w:pPr>
        <w:tabs>
          <w:tab w:pos="6302" w:val="left" w:leader="none"/>
          <w:tab w:pos="11157" w:val="left" w:leader="none"/>
        </w:tabs>
        <w:spacing w:before="13"/>
        <w:ind w:left="3377" w:right="0" w:firstLine="0"/>
        <w:jc w:val="left"/>
        <w:rPr>
          <w:rFonts w:ascii="Arial"/>
          <w:b/>
          <w:sz w:val="17"/>
        </w:rPr>
      </w:pPr>
      <w:r>
        <w:rPr>
          <w:rFonts w:ascii="Arial"/>
          <w:b/>
          <w:color w:val="231F20"/>
          <w:sz w:val="17"/>
        </w:rPr>
        <w:t>Province</w:t>
        <w:tab/>
      </w:r>
      <w:r>
        <w:rPr>
          <w:rFonts w:ascii="Arial"/>
          <w:b/>
          <w:color w:val="231F20"/>
          <w:w w:val="101"/>
          <w:sz w:val="17"/>
          <w:u w:val="single" w:color="231F20"/>
        </w:rPr>
        <w:t> </w:t>
      </w:r>
      <w:r>
        <w:rPr>
          <w:rFonts w:ascii="Arial"/>
          <w:b/>
          <w:color w:val="231F20"/>
          <w:sz w:val="17"/>
          <w:u w:val="single" w:color="231F20"/>
        </w:rPr>
        <w:tab/>
      </w:r>
    </w:p>
    <w:p>
      <w:pPr>
        <w:spacing w:after="0"/>
        <w:jc w:val="left"/>
        <w:rPr>
          <w:rFonts w:ascii="Arial"/>
          <w:sz w:val="17"/>
        </w:rPr>
        <w:sectPr>
          <w:type w:val="continuous"/>
          <w:pgSz w:w="12240" w:h="15840"/>
          <w:pgMar w:top="920" w:bottom="280" w:left="0" w:right="0"/>
        </w:sectPr>
      </w:pPr>
    </w:p>
    <w:p>
      <w:pPr>
        <w:pStyle w:val="BodyText"/>
        <w:spacing w:before="10"/>
        <w:rPr>
          <w:rFonts w:ascii="Arial"/>
          <w:b/>
          <w:sz w:val="3"/>
        </w:rPr>
      </w:pPr>
    </w:p>
    <w:p>
      <w:pPr>
        <w:pStyle w:val="BodyText"/>
        <w:ind w:left="1080" w:right="-48"/>
        <w:rPr>
          <w:rFonts w:ascii="Arial"/>
        </w:rPr>
      </w:pPr>
      <w:r>
        <w:rPr>
          <w:rFonts w:ascii="Arial"/>
        </w:rPr>
        <w:pict>
          <v:group style="width:243.05pt;height:46.3pt;mso-position-horizontal-relative:char;mso-position-vertical-relative:line" coordorigin="0,0" coordsize="4861,926">
            <v:rect style="position:absolute;left:0;top:33;width:4861;height:893" filled="true" fillcolor="#ffffff" stroked="false">
              <v:fill type="solid"/>
            </v:rect>
            <v:shape style="position:absolute;left:0;top:0;width:4861;height:926" type="#_x0000_t202" filled="false" stroked="false">
              <v:textbox inset="0,0,0,0">
                <w:txbxContent>
                  <w:p>
                    <w:pPr>
                      <w:spacing w:line="230" w:lineRule="auto" w:before="20"/>
                      <w:ind w:left="19" w:right="16" w:firstLine="0"/>
                      <w:jc w:val="both"/>
                      <w:rPr>
                        <w:sz w:val="16"/>
                      </w:rPr>
                    </w:pPr>
                    <w:r>
                      <w:rPr>
                        <w:b/>
                        <w:color w:val="231F20"/>
                        <w:sz w:val="16"/>
                      </w:rPr>
                      <w:t>F</w:t>
                    </w:r>
                    <w:r>
                      <w:rPr>
                        <w:b/>
                        <w:color w:val="231F20"/>
                        <w:sz w:val="16"/>
                        <w:vertAlign w:val="subscript"/>
                      </w:rPr>
                      <w:t>IGURE</w:t>
                    </w:r>
                    <w:r>
                      <w:rPr>
                        <w:b/>
                        <w:color w:val="231F20"/>
                        <w:sz w:val="16"/>
                        <w:vertAlign w:val="baseline"/>
                      </w:rPr>
                      <w:t> 7. </w:t>
                    </w:r>
                    <w:r>
                      <w:rPr>
                        <w:color w:val="231F20"/>
                        <w:sz w:val="16"/>
                        <w:vertAlign w:val="baseline"/>
                      </w:rPr>
                      <w:t>Histogram of the total tonnage of base metals from known VMS deposits per province; also shown are the number of deposits. The aggre- gate tonnage was calculated by total metals represent divided by geological reserves (proven, possible, and probable; non 43-101 compliant).</w:t>
                    </w:r>
                  </w:p>
                </w:txbxContent>
              </v:textbox>
              <w10:wrap type="none"/>
            </v:shape>
          </v:group>
        </w:pict>
      </w:r>
      <w:r>
        <w:rPr>
          <w:rFonts w:ascii="Arial"/>
        </w:rPr>
      </w:r>
    </w:p>
    <w:p>
      <w:pPr>
        <w:pStyle w:val="BodyText"/>
        <w:spacing w:line="230" w:lineRule="auto"/>
        <w:ind w:left="1115"/>
        <w:jc w:val="both"/>
      </w:pPr>
      <w:r>
        <w:rPr>
          <w:color w:val="231F20"/>
        </w:rPr>
        <w:t>along transform fault sutures (Bloomer et al., 1995). These early suprasubduction terranes are most commonly</w:t>
      </w:r>
      <w:r>
        <w:rPr>
          <w:color w:val="231F20"/>
          <w:spacing w:val="-31"/>
        </w:rPr>
        <w:t> </w:t>
      </w:r>
      <w:r>
        <w:rPr>
          <w:color w:val="231F20"/>
        </w:rPr>
        <w:t>observed in the ancient rock record at the base of oceanic arc assem- blages in which VMS deposits are spatially associated with isolated extrusive rhyolite complexes near the top of thick basalt and basaltic andesite successions. The best Canadian example of these bimodal mafic-dominated caldera settings is the Paleoproterozoic host succession to the Anderson, Stall, and Rod VMS deposits in the Snow Lake camp, Manitoba (Bailes and </w:t>
      </w:r>
      <w:r>
        <w:rPr>
          <w:color w:val="231F20"/>
          <w:spacing w:val="-3"/>
        </w:rPr>
        <w:t>Galley, </w:t>
      </w:r>
      <w:r>
        <w:rPr>
          <w:color w:val="231F20"/>
        </w:rPr>
        <w:t>1999). The komatiite-basalt- rhyolite setting for the Archean Kidd Creek deposit is</w:t>
      </w:r>
      <w:r>
        <w:rPr>
          <w:color w:val="231F20"/>
          <w:spacing w:val="28"/>
        </w:rPr>
        <w:t> </w:t>
      </w:r>
      <w:r>
        <w:rPr>
          <w:color w:val="231F20"/>
        </w:rPr>
        <w:t>inter-</w:t>
      </w:r>
    </w:p>
    <w:p>
      <w:pPr>
        <w:pStyle w:val="BodyText"/>
        <w:rPr>
          <w:sz w:val="10"/>
        </w:rPr>
      </w:pPr>
      <w:r>
        <w:rPr/>
        <w:br w:type="column"/>
      </w:r>
      <w:r>
        <w:rPr>
          <w:sz w:val="10"/>
        </w:rPr>
      </w:r>
    </w:p>
    <w:p>
      <w:pPr>
        <w:pStyle w:val="BodyText"/>
        <w:spacing w:before="11"/>
        <w:rPr>
          <w:sz w:val="7"/>
        </w:rPr>
      </w:pPr>
    </w:p>
    <w:p>
      <w:pPr>
        <w:spacing w:before="0"/>
        <w:ind w:left="0" w:right="41" w:firstLine="0"/>
        <w:jc w:val="right"/>
        <w:rPr>
          <w:rFonts w:ascii="Arial"/>
          <w:sz w:val="10"/>
        </w:rPr>
      </w:pPr>
      <w:r>
        <w:rPr>
          <w:rFonts w:ascii="Arial"/>
          <w:color w:val="414042"/>
          <w:sz w:val="10"/>
        </w:rPr>
        <w:t>2.5</w:t>
      </w:r>
    </w:p>
    <w:p>
      <w:pPr>
        <w:spacing w:before="61"/>
        <w:ind w:left="0" w:right="38" w:firstLine="0"/>
        <w:jc w:val="right"/>
        <w:rPr>
          <w:rFonts w:ascii="Arial"/>
          <w:sz w:val="10"/>
        </w:rPr>
      </w:pPr>
      <w:r>
        <w:rPr/>
        <w:pict>
          <v:group style="position:absolute;margin-left:325.147003pt;margin-top:-7.44576pt;width:73.6pt;height:46.05pt;mso-position-horizontal-relative:page;mso-position-vertical-relative:paragraph;z-index:4288" coordorigin="6503,-149" coordsize="1472,921">
            <v:rect style="position:absolute;left:6525;top:-147;width:1446;height:916" filled="false" stroked="true" strokeweight=".24pt" strokecolor="#231f20">
              <v:stroke dashstyle="solid"/>
            </v:rect>
            <v:line style="position:absolute" from="6937,298" to="6937,769" stroked="true" strokeweight="5.989pt" strokecolor="#a6ce39">
              <v:stroke dashstyle="solid"/>
            </v:line>
            <v:rect style="position:absolute;left:6876;top:298;width:120;height:471" filled="false" stroked="true" strokeweight=".241pt" strokecolor="#231f20">
              <v:stroke dashstyle="solid"/>
            </v:rect>
            <v:rect style="position:absolute;left:7176;top:654;width:112;height:115" filled="true" fillcolor="#adbc72" stroked="false">
              <v:fill type="solid"/>
            </v:rect>
            <v:rect style="position:absolute;left:7176;top:654;width:112;height:115" filled="false" stroked="true" strokeweight=".241pt" strokecolor="#231f20">
              <v:stroke dashstyle="solid"/>
            </v:rect>
            <v:rect style="position:absolute;left:7458;top:658;width:120;height:111" filled="true" fillcolor="#fff200" stroked="false">
              <v:fill type="solid"/>
            </v:rect>
            <v:rect style="position:absolute;left:7458;top:658;width:120;height:111" filled="false" stroked="true" strokeweight=".241pt" strokecolor="#231f20">
              <v:stroke dashstyle="solid"/>
            </v:rect>
            <v:rect style="position:absolute;left:7749;top:654;width:129;height:115" filled="true" fillcolor="#fff9ae" stroked="false">
              <v:fill type="solid"/>
            </v:rect>
            <v:rect style="position:absolute;left:7749;top:654;width:129;height:115" filled="false" stroked="true" strokeweight=".241pt" strokecolor="#231f20">
              <v:stroke dashstyle="solid"/>
            </v:rect>
            <v:rect style="position:absolute;left:6594;top:731;width:103;height:38" filled="true" fillcolor="#00a650" stroked="false">
              <v:fill type="solid"/>
            </v:rect>
            <v:rect style="position:absolute;left:6594;top:731;width:103;height:38" filled="false" stroked="true" strokeweight=".241pt" strokecolor="#231f20">
              <v:stroke dashstyle="solid"/>
            </v:rect>
            <v:shape style="position:absolute;left:9;top:8205;width:44;height:654" coordorigin="9,8206" coordsize="44,654" path="m6515,601l6547,601m6506,441l6537,441m6515,283l6547,283m6503,117l6534,117m6503,-53l6534,-53e" filled="false" stroked="true" strokeweight=".241pt" strokecolor="#231f20">
              <v:path arrowok="t"/>
              <v:stroke dashstyle="solid"/>
            </v:shape>
            <v:shape style="position:absolute;left:7105;top:-77;width:846;height:208" type="#_x0000_t202" filled="false" stroked="false">
              <v:textbox inset="0,0,0,0">
                <w:txbxContent>
                  <w:p>
                    <w:pPr>
                      <w:spacing w:line="102" w:lineRule="exact" w:before="0"/>
                      <w:ind w:left="0" w:right="0" w:firstLine="0"/>
                      <w:jc w:val="left"/>
                      <w:rPr>
                        <w:rFonts w:ascii="Arial"/>
                        <w:sz w:val="10"/>
                      </w:rPr>
                    </w:pPr>
                    <w:r>
                      <w:rPr>
                        <w:rFonts w:ascii="Arial"/>
                        <w:color w:val="414042"/>
                        <w:sz w:val="10"/>
                      </w:rPr>
                      <w:t>TOTAL TONNAGE</w:t>
                    </w:r>
                  </w:p>
                  <w:p>
                    <w:pPr>
                      <w:spacing w:line="105" w:lineRule="exact" w:before="0"/>
                      <w:ind w:left="27" w:right="0" w:firstLine="0"/>
                      <w:jc w:val="left"/>
                      <w:rPr>
                        <w:rFonts w:ascii="Arial"/>
                        <w:sz w:val="10"/>
                      </w:rPr>
                    </w:pPr>
                    <w:r>
                      <w:rPr>
                        <w:rFonts w:ascii="Arial"/>
                        <w:color w:val="414042"/>
                        <w:sz w:val="10"/>
                      </w:rPr>
                      <w:t>in billion tonnes</w:t>
                    </w:r>
                  </w:p>
                </w:txbxContent>
              </v:textbox>
              <w10:wrap type="none"/>
            </v:shape>
            <v:shape style="position:absolute;left:6833;top:168;width:216;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1.49</w:t>
                    </w:r>
                  </w:p>
                </w:txbxContent>
              </v:textbox>
              <w10:wrap type="none"/>
            </v:shape>
            <v:shape style="position:absolute;left:6551;top:614;width:216;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0.03</w:t>
                    </w:r>
                  </w:p>
                </w:txbxContent>
              </v:textbox>
              <w10:wrap type="none"/>
            </v:shape>
            <v:shape style="position:absolute;left:7132;top:546;width:788;height:117" type="#_x0000_t202" filled="false" stroked="false">
              <v:textbox inset="0,0,0,0">
                <w:txbxContent>
                  <w:p>
                    <w:pPr>
                      <w:spacing w:before="2"/>
                      <w:ind w:left="0" w:right="0" w:firstLine="0"/>
                      <w:jc w:val="left"/>
                      <w:rPr>
                        <w:rFonts w:ascii="Arial"/>
                        <w:sz w:val="10"/>
                      </w:rPr>
                    </w:pPr>
                    <w:r>
                      <w:rPr>
                        <w:rFonts w:ascii="Arial"/>
                        <w:color w:val="414042"/>
                        <w:sz w:val="10"/>
                      </w:rPr>
                      <w:t>0.34 0.35 0.36</w:t>
                    </w:r>
                  </w:p>
                </w:txbxContent>
              </v:textbox>
              <w10:wrap type="none"/>
            </v:shape>
            <w10:wrap type="none"/>
          </v:group>
        </w:pict>
      </w:r>
      <w:r>
        <w:rPr>
          <w:rFonts w:ascii="Arial"/>
          <w:color w:val="414042"/>
          <w:sz w:val="10"/>
        </w:rPr>
        <w:t>2.0</w:t>
      </w:r>
    </w:p>
    <w:p>
      <w:pPr>
        <w:spacing w:before="36"/>
        <w:ind w:left="0" w:right="41" w:firstLine="0"/>
        <w:jc w:val="right"/>
        <w:rPr>
          <w:rFonts w:ascii="Arial"/>
          <w:sz w:val="10"/>
        </w:rPr>
      </w:pPr>
      <w:r>
        <w:rPr>
          <w:rFonts w:ascii="Arial"/>
          <w:color w:val="414042"/>
          <w:sz w:val="10"/>
        </w:rPr>
        <w:t>1.5</w:t>
      </w:r>
    </w:p>
    <w:p>
      <w:pPr>
        <w:spacing w:before="55"/>
        <w:ind w:left="0" w:right="41" w:firstLine="0"/>
        <w:jc w:val="right"/>
        <w:rPr>
          <w:rFonts w:ascii="Arial"/>
          <w:sz w:val="10"/>
        </w:rPr>
      </w:pPr>
      <w:r>
        <w:rPr>
          <w:rFonts w:ascii="Arial"/>
          <w:color w:val="414042"/>
          <w:sz w:val="10"/>
        </w:rPr>
        <w:t>1.0</w:t>
      </w:r>
    </w:p>
    <w:p>
      <w:pPr>
        <w:spacing w:before="39"/>
        <w:ind w:left="0" w:right="41" w:firstLine="0"/>
        <w:jc w:val="right"/>
        <w:rPr>
          <w:rFonts w:ascii="Arial"/>
          <w:sz w:val="10"/>
        </w:rPr>
      </w:pPr>
      <w:r>
        <w:rPr>
          <w:rFonts w:ascii="Arial"/>
          <w:color w:val="414042"/>
          <w:sz w:val="10"/>
        </w:rPr>
        <w:t>0.5</w:t>
      </w:r>
    </w:p>
    <w:p>
      <w:pPr>
        <w:pStyle w:val="BodyText"/>
        <w:rPr>
          <w:rFonts w:ascii="Arial"/>
          <w:sz w:val="10"/>
        </w:rPr>
      </w:pPr>
    </w:p>
    <w:p>
      <w:pPr>
        <w:pStyle w:val="BodyText"/>
        <w:rPr>
          <w:rFonts w:ascii="Arial"/>
          <w:sz w:val="10"/>
        </w:rPr>
      </w:pPr>
    </w:p>
    <w:p>
      <w:pPr>
        <w:spacing w:before="65"/>
        <w:ind w:left="0" w:right="53" w:firstLine="0"/>
        <w:jc w:val="right"/>
        <w:rPr>
          <w:rFonts w:ascii="Arial"/>
          <w:sz w:val="10"/>
        </w:rPr>
      </w:pPr>
      <w:r>
        <w:rPr/>
        <w:pict>
          <v:group style="position:absolute;margin-left:324.410004pt;margin-top:.379871pt;width:74pt;height:48.2pt;mso-position-horizontal-relative:page;mso-position-vertical-relative:paragraph;z-index:4168" coordorigin="6488,8" coordsize="1480,964">
            <v:rect style="position:absolute;left:6510;top:9;width:1455;height:959" filled="false" stroked="true" strokeweight=".24pt" strokecolor="#231f20">
              <v:stroke dashstyle="solid"/>
            </v:rect>
            <v:rect style="position:absolute;left:6605;top:895;width:103;height:74" filled="true" fillcolor="#00a650" stroked="false">
              <v:fill type="solid"/>
            </v:rect>
            <v:rect style="position:absolute;left:6605;top:895;width:103;height:74" filled="false" stroked="true" strokeweight=".241pt" strokecolor="#231f20">
              <v:stroke dashstyle="solid"/>
            </v:rect>
            <v:line style="position:absolute" from="6947,725" to="6947,968" stroked="true" strokeweight="5.989pt" strokecolor="#a6ce39">
              <v:stroke dashstyle="solid"/>
            </v:line>
            <v:rect style="position:absolute;left:6887;top:724;width:120;height:244" filled="false" stroked="true" strokeweight=".241pt" strokecolor="#231f20">
              <v:stroke dashstyle="solid"/>
            </v:rect>
            <v:line style="position:absolute" from="7246,25" to="7246,968" stroked="true" strokeweight="5.561pt" strokecolor="#adbc72">
              <v:stroke dashstyle="solid"/>
            </v:line>
            <v:rect style="position:absolute;left:7190;top:24;width:112;height:944" filled="false" stroked="true" strokeweight=".241pt" strokecolor="#231f20">
              <v:stroke dashstyle="solid"/>
            </v:rect>
            <v:line style="position:absolute" from="7529,810" to="7529,964" stroked="true" strokeweight="5.989pt" strokecolor="#fff200">
              <v:stroke dashstyle="solid"/>
            </v:line>
            <v:rect style="position:absolute;left:7469;top:810;width:120;height:155" filled="false" stroked="true" strokeweight=".241pt" strokecolor="#231f20">
              <v:stroke dashstyle="solid"/>
            </v:rect>
            <v:line style="position:absolute" from="7824,659" to="7824,968" stroked="true" strokeweight="6.417pt" strokecolor="#fff9ae">
              <v:stroke dashstyle="solid"/>
            </v:line>
            <v:rect style="position:absolute;left:7760;top:659;width:129;height:310" filled="false" stroked="true" strokeweight=".241pt" strokecolor="#231f20">
              <v:stroke dashstyle="solid"/>
            </v:rect>
            <v:shape style="position:absolute;left:-6;top:8394;width:51;height:660" coordorigin="-6,8395" coordsize="51,660" path="m6497,796l6529,796m6508,637l6539,637m6501,463l6532,463m6494,300l6526,300m6488,136l6520,136e" filled="false" stroked="true" strokeweight=".241pt" strokecolor="#231f20">
              <v:path arrowok="t"/>
              <v:stroke dashstyle="solid"/>
            </v:shape>
            <v:shape style="position:absolute;left:6601;top:20;width:1351;height:633" type="#_x0000_t202" filled="false" stroked="false">
              <v:textbox inset="0,0,0,0">
                <w:txbxContent>
                  <w:p>
                    <w:pPr>
                      <w:spacing w:line="98" w:lineRule="exact" w:before="0"/>
                      <w:ind w:left="741" w:right="0" w:firstLine="0"/>
                      <w:jc w:val="left"/>
                      <w:rPr>
                        <w:rFonts w:ascii="Arial"/>
                        <w:sz w:val="10"/>
                      </w:rPr>
                    </w:pPr>
                    <w:r>
                      <w:rPr>
                        <w:rFonts w:ascii="Arial"/>
                        <w:color w:val="414042"/>
                        <w:sz w:val="10"/>
                      </w:rPr>
                      <w:t>34.3</w:t>
                    </w:r>
                  </w:p>
                  <w:p>
                    <w:pPr>
                      <w:spacing w:line="93" w:lineRule="exact" w:before="0"/>
                      <w:ind w:left="9" w:right="0" w:firstLine="0"/>
                      <w:jc w:val="left"/>
                      <w:rPr>
                        <w:rFonts w:ascii="Arial"/>
                        <w:sz w:val="10"/>
                      </w:rPr>
                    </w:pPr>
                    <w:r>
                      <w:rPr>
                        <w:rFonts w:ascii="Arial"/>
                        <w:color w:val="414042"/>
                        <w:sz w:val="10"/>
                      </w:rPr>
                      <w:t>AVERAGE</w:t>
                    </w:r>
                  </w:p>
                  <w:p>
                    <w:pPr>
                      <w:tabs>
                        <w:tab w:pos="801" w:val="left" w:leader="none"/>
                      </w:tabs>
                      <w:spacing w:line="196" w:lineRule="auto" w:before="10"/>
                      <w:ind w:left="796" w:right="144" w:hanging="797"/>
                      <w:jc w:val="left"/>
                      <w:rPr>
                        <w:rFonts w:ascii="Arial"/>
                        <w:sz w:val="10"/>
                      </w:rPr>
                    </w:pPr>
                    <w:r>
                      <w:rPr>
                        <w:rFonts w:ascii="Arial"/>
                        <w:color w:val="414042"/>
                        <w:sz w:val="10"/>
                      </w:rPr>
                      <w:t>TONNAGE</w:t>
                      <w:tab/>
                      <w:tab/>
                      <w:t>in million tonnes</w:t>
                    </w:r>
                  </w:p>
                  <w:p>
                    <w:pPr>
                      <w:spacing w:line="240" w:lineRule="auto" w:before="1"/>
                      <w:rPr>
                        <w:sz w:val="11"/>
                      </w:rPr>
                    </w:pPr>
                  </w:p>
                  <w:p>
                    <w:pPr>
                      <w:spacing w:before="0"/>
                      <w:ind w:left="0" w:right="18" w:firstLine="0"/>
                      <w:jc w:val="right"/>
                      <w:rPr>
                        <w:rFonts w:ascii="Arial"/>
                        <w:sz w:val="10"/>
                      </w:rPr>
                    </w:pPr>
                    <w:r>
                      <w:rPr>
                        <w:rFonts w:ascii="Arial"/>
                        <w:color w:val="414042"/>
                        <w:sz w:val="10"/>
                      </w:rPr>
                      <w:t>8.73</w:t>
                    </w:r>
                  </w:p>
                </w:txbxContent>
              </v:textbox>
              <w10:wrap type="none"/>
            </v:shape>
            <v:shape style="position:absolute;left:6890;top:623;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7.5</w:t>
                    </w:r>
                  </w:p>
                </w:txbxContent>
              </v:textbox>
              <w10:wrap type="none"/>
            </v:shape>
            <v:shape style="position:absolute;left:7465;top:683;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4.7</w:t>
                    </w:r>
                  </w:p>
                </w:txbxContent>
              </v:textbox>
              <w10:wrap type="none"/>
            </v:shape>
            <v:shape style="position:absolute;left:6579;top:784;width:160;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1.2</w:t>
                    </w:r>
                  </w:p>
                </w:txbxContent>
              </v:textbox>
              <w10:wrap type="none"/>
            </v:shape>
            <w10:wrap type="none"/>
          </v:group>
        </w:pict>
      </w:r>
      <w:r>
        <w:rPr>
          <w:rFonts w:ascii="Arial"/>
          <w:color w:val="414042"/>
          <w:sz w:val="10"/>
        </w:rPr>
        <w:t>25</w:t>
      </w:r>
    </w:p>
    <w:p>
      <w:pPr>
        <w:spacing w:before="55"/>
        <w:ind w:left="0" w:right="59" w:firstLine="0"/>
        <w:jc w:val="right"/>
        <w:rPr>
          <w:rFonts w:ascii="Arial"/>
          <w:sz w:val="10"/>
        </w:rPr>
      </w:pPr>
      <w:r>
        <w:rPr>
          <w:rFonts w:ascii="Arial"/>
          <w:color w:val="414042"/>
          <w:sz w:val="10"/>
        </w:rPr>
        <w:t>20</w:t>
      </w:r>
    </w:p>
    <w:p>
      <w:pPr>
        <w:spacing w:before="48"/>
        <w:ind w:left="0" w:right="63" w:firstLine="0"/>
        <w:jc w:val="right"/>
        <w:rPr>
          <w:rFonts w:ascii="Arial"/>
          <w:sz w:val="10"/>
        </w:rPr>
      </w:pPr>
      <w:r>
        <w:rPr>
          <w:rFonts w:ascii="Arial"/>
          <w:color w:val="414042"/>
          <w:sz w:val="10"/>
        </w:rPr>
        <w:t>15</w:t>
      </w:r>
    </w:p>
    <w:p>
      <w:pPr>
        <w:spacing w:before="52"/>
        <w:ind w:left="0" w:right="63" w:firstLine="0"/>
        <w:jc w:val="right"/>
        <w:rPr>
          <w:rFonts w:ascii="Arial"/>
          <w:sz w:val="10"/>
        </w:rPr>
      </w:pPr>
      <w:r>
        <w:rPr>
          <w:rFonts w:ascii="Arial"/>
          <w:color w:val="414042"/>
          <w:sz w:val="10"/>
        </w:rPr>
        <w:t>10</w:t>
      </w:r>
    </w:p>
    <w:p>
      <w:pPr>
        <w:spacing w:before="55"/>
        <w:ind w:left="0" w:right="72" w:firstLine="0"/>
        <w:jc w:val="right"/>
        <w:rPr>
          <w:rFonts w:ascii="Arial"/>
          <w:sz w:val="10"/>
        </w:rPr>
      </w:pPr>
      <w:r>
        <w:rPr>
          <w:rFonts w:ascii="Arial"/>
          <w:color w:val="414042"/>
          <w:w w:val="100"/>
          <w:sz w:val="10"/>
        </w:rPr>
        <w:t>5</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5"/>
        <w:rPr>
          <w:rFonts w:ascii="Arial"/>
          <w:sz w:val="9"/>
        </w:rPr>
      </w:pPr>
    </w:p>
    <w:p>
      <w:pPr>
        <w:spacing w:before="0"/>
        <w:ind w:left="0" w:right="51" w:firstLine="0"/>
        <w:jc w:val="right"/>
        <w:rPr>
          <w:rFonts w:ascii="Arial"/>
          <w:sz w:val="10"/>
        </w:rPr>
      </w:pPr>
      <w:r>
        <w:rPr/>
        <w:pict>
          <v:group style="position:absolute;margin-left:324.550995pt;margin-top:-10.767571pt;width:73.850pt;height:46.45pt;mso-position-horizontal-relative:page;mso-position-vertical-relative:paragraph;z-index:4048" coordorigin="6491,-215" coordsize="1477,929">
            <v:rect style="position:absolute;left:6510;top:-213;width:1455;height:925" filled="false" stroked="true" strokeweight=".24pt" strokecolor="#231f20">
              <v:stroke dashstyle="solid"/>
            </v:rect>
            <v:rect style="position:absolute;left:6605;top:655;width:103;height:54" filled="true" fillcolor="#00a650" stroked="false">
              <v:fill type="solid"/>
            </v:rect>
            <v:rect style="position:absolute;left:6605;top:655;width:103;height:54" filled="false" stroked="true" strokeweight=".241pt" strokecolor="#231f20">
              <v:stroke dashstyle="solid"/>
            </v:rect>
            <v:line style="position:absolute" from="6947,284" to="6947,710" stroked="true" strokeweight="5.989pt" strokecolor="#a6ce39">
              <v:stroke dashstyle="solid"/>
            </v:line>
            <v:rect style="position:absolute;left:6887;top:284;width:120;height:426" filled="false" stroked="true" strokeweight=".241pt" strokecolor="#231f20">
              <v:stroke dashstyle="solid"/>
            </v:rect>
            <v:rect style="position:absolute;left:7186;top:675;width:112;height:35" filled="true" fillcolor="#adbc72" stroked="false">
              <v:fill type="solid"/>
            </v:rect>
            <v:rect style="position:absolute;left:7186;top:675;width:112;height:35" filled="false" stroked="true" strokeweight=".241pt" strokecolor="#231f20">
              <v:stroke dashstyle="solid"/>
            </v:rect>
            <v:line style="position:absolute" from="7529,528" to="7529,710" stroked="true" strokeweight="5.989pt" strokecolor="#fff200">
              <v:stroke dashstyle="solid"/>
            </v:line>
            <v:rect style="position:absolute;left:7469;top:528;width:120;height:182" filled="false" stroked="true" strokeweight=".241pt" strokecolor="#231f20">
              <v:stroke dashstyle="solid"/>
            </v:rect>
            <v:rect style="position:absolute;left:7760;top:628;width:129;height:81" filled="true" fillcolor="#fff9ae" stroked="false">
              <v:fill type="solid"/>
            </v:rect>
            <v:rect style="position:absolute;left:7760;top:628;width:129;height:81" filled="false" stroked="true" strokeweight=".241pt" strokecolor="#231f20">
              <v:stroke dashstyle="solid"/>
            </v:rect>
            <v:shape style="position:absolute;left:-3;top:8324;width:38;height:528" coordorigin="-3,8324" coordsize="38,528" path="m6494,593l6525,593m6497,487l6528,487m6497,380l6529,380m6497,279l6529,279m6494,172l6525,172m6491,66l6522,66e" filled="false" stroked="true" strokeweight=".241pt" strokecolor="#231f20">
              <v:path arrowok="t"/>
              <v:stroke dashstyle="solid"/>
            </v:shape>
            <v:shape style="position:absolute;left:6673;top:-143;width:1160;height:678" type="#_x0000_t202" filled="false" stroked="false">
              <v:textbox inset="0,0,0,0">
                <w:txbxContent>
                  <w:p>
                    <w:pPr>
                      <w:spacing w:line="112" w:lineRule="exact" w:before="0"/>
                      <w:ind w:left="0" w:right="0" w:firstLine="0"/>
                      <w:jc w:val="left"/>
                      <w:rPr>
                        <w:rFonts w:ascii="Arial"/>
                        <w:sz w:val="10"/>
                      </w:rPr>
                    </w:pPr>
                    <w:r>
                      <w:rPr>
                        <w:rFonts w:ascii="Arial"/>
                        <w:color w:val="414042"/>
                        <w:sz w:val="10"/>
                      </w:rPr>
                      <w:t>NUMBER OF DEPOSITS</w:t>
                    </w:r>
                  </w:p>
                  <w:p>
                    <w:pPr>
                      <w:spacing w:line="240" w:lineRule="auto" w:before="0"/>
                      <w:rPr>
                        <w:sz w:val="10"/>
                      </w:rPr>
                    </w:pPr>
                  </w:p>
                  <w:p>
                    <w:pPr>
                      <w:spacing w:before="88"/>
                      <w:ind w:left="186" w:right="0" w:firstLine="0"/>
                      <w:jc w:val="left"/>
                      <w:rPr>
                        <w:rFonts w:ascii="Arial"/>
                        <w:sz w:val="10"/>
                      </w:rPr>
                    </w:pPr>
                    <w:r>
                      <w:rPr>
                        <w:rFonts w:ascii="Arial"/>
                        <w:color w:val="414042"/>
                        <w:sz w:val="10"/>
                      </w:rPr>
                      <w:t>197</w:t>
                    </w:r>
                  </w:p>
                  <w:p>
                    <w:pPr>
                      <w:spacing w:line="240" w:lineRule="auto" w:before="5"/>
                      <w:rPr>
                        <w:sz w:val="11"/>
                      </w:rPr>
                    </w:pPr>
                  </w:p>
                  <w:p>
                    <w:pPr>
                      <w:spacing w:before="0"/>
                      <w:ind w:left="0" w:right="237" w:firstLine="0"/>
                      <w:jc w:val="right"/>
                      <w:rPr>
                        <w:rFonts w:ascii="Arial"/>
                        <w:sz w:val="10"/>
                      </w:rPr>
                    </w:pPr>
                    <w:r>
                      <w:rPr>
                        <w:rFonts w:ascii="Arial"/>
                        <w:color w:val="414042"/>
                        <w:sz w:val="10"/>
                      </w:rPr>
                      <w:t>73</w:t>
                    </w:r>
                  </w:p>
                </w:txbxContent>
              </v:textbox>
              <w10:wrap type="none"/>
            </v:shape>
            <v:shape style="position:absolute;left:6613;top:547;width:132;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24</w:t>
                    </w:r>
                  </w:p>
                </w:txbxContent>
              </v:textbox>
              <w10:wrap type="none"/>
            </v:shape>
            <v:shape style="position:absolute;left:7214;top:566;width:76;height:113" type="#_x0000_t202" filled="false" stroked="false">
              <v:textbox inset="0,0,0,0">
                <w:txbxContent>
                  <w:p>
                    <w:pPr>
                      <w:spacing w:line="112" w:lineRule="exact" w:before="0"/>
                      <w:ind w:left="0" w:right="0" w:firstLine="0"/>
                      <w:jc w:val="left"/>
                      <w:rPr>
                        <w:rFonts w:ascii="Arial"/>
                        <w:sz w:val="10"/>
                      </w:rPr>
                    </w:pPr>
                    <w:r>
                      <w:rPr>
                        <w:rFonts w:ascii="Arial"/>
                        <w:color w:val="414042"/>
                        <w:w w:val="100"/>
                        <w:sz w:val="10"/>
                      </w:rPr>
                      <w:t>9</w:t>
                    </w:r>
                  </w:p>
                </w:txbxContent>
              </v:textbox>
              <w10:wrap type="none"/>
            </v:shape>
            <v:shape style="position:absolute;left:7779;top:522;width:132;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40</w:t>
                    </w:r>
                  </w:p>
                </w:txbxContent>
              </v:textbox>
              <w10:wrap type="none"/>
            </v:shape>
            <w10:wrap type="none"/>
          </v:group>
        </w:pict>
      </w:r>
      <w:r>
        <w:rPr>
          <w:rFonts w:ascii="Arial"/>
          <w:color w:val="414042"/>
          <w:sz w:val="10"/>
        </w:rPr>
        <w:t>300</w:t>
      </w:r>
    </w:p>
    <w:p>
      <w:pPr>
        <w:pStyle w:val="BodyText"/>
        <w:rPr>
          <w:rFonts w:ascii="Arial"/>
          <w:sz w:val="8"/>
        </w:rPr>
      </w:pPr>
    </w:p>
    <w:p>
      <w:pPr>
        <w:spacing w:before="1"/>
        <w:ind w:left="0" w:right="48" w:firstLine="0"/>
        <w:jc w:val="right"/>
        <w:rPr>
          <w:rFonts w:ascii="Arial"/>
          <w:sz w:val="10"/>
        </w:rPr>
      </w:pPr>
      <w:r>
        <w:rPr>
          <w:rFonts w:ascii="Arial"/>
          <w:color w:val="414042"/>
          <w:sz w:val="10"/>
        </w:rPr>
        <w:t>200</w:t>
      </w:r>
    </w:p>
    <w:p>
      <w:pPr>
        <w:pStyle w:val="BodyText"/>
        <w:spacing w:before="6"/>
        <w:rPr>
          <w:rFonts w:ascii="Arial"/>
          <w:sz w:val="8"/>
        </w:rPr>
      </w:pPr>
    </w:p>
    <w:p>
      <w:pPr>
        <w:spacing w:before="0"/>
        <w:ind w:left="0" w:right="57" w:firstLine="0"/>
        <w:jc w:val="right"/>
        <w:rPr>
          <w:rFonts w:ascii="Arial"/>
          <w:sz w:val="10"/>
        </w:rPr>
      </w:pPr>
      <w:r>
        <w:rPr>
          <w:rFonts w:ascii="Arial"/>
          <w:color w:val="414042"/>
          <w:sz w:val="10"/>
        </w:rPr>
        <w:t>100</w:t>
      </w:r>
    </w:p>
    <w:p>
      <w:pPr>
        <w:pStyle w:val="BodyText"/>
        <w:rPr>
          <w:rFonts w:ascii="Arial"/>
          <w:sz w:val="10"/>
        </w:rPr>
      </w:pPr>
      <w:r>
        <w:rPr/>
        <w:br w:type="column"/>
      </w:r>
      <w:r>
        <w:rPr>
          <w:rFonts w:ascii="Arial"/>
          <w:sz w:val="10"/>
        </w:rPr>
      </w:r>
    </w:p>
    <w:p>
      <w:pPr>
        <w:pStyle w:val="BodyText"/>
        <w:spacing w:before="3"/>
        <w:rPr>
          <w:rFonts w:ascii="Arial"/>
          <w:sz w:val="10"/>
        </w:rPr>
      </w:pPr>
    </w:p>
    <w:p>
      <w:pPr>
        <w:spacing w:line="110" w:lineRule="exact" w:before="0"/>
        <w:ind w:left="0" w:right="46" w:firstLine="0"/>
        <w:jc w:val="right"/>
        <w:rPr>
          <w:rFonts w:ascii="Arial"/>
          <w:sz w:val="10"/>
        </w:rPr>
      </w:pPr>
      <w:r>
        <w:rPr>
          <w:rFonts w:ascii="Arial"/>
          <w:color w:val="414042"/>
          <w:w w:val="100"/>
          <w:sz w:val="10"/>
        </w:rPr>
        <w:t>2</w:t>
      </w:r>
    </w:p>
    <w:p>
      <w:pPr>
        <w:spacing w:line="110" w:lineRule="exact" w:before="0"/>
        <w:ind w:left="0" w:right="44" w:firstLine="0"/>
        <w:jc w:val="right"/>
        <w:rPr>
          <w:rFonts w:ascii="Arial"/>
          <w:sz w:val="10"/>
        </w:rPr>
      </w:pPr>
      <w:r>
        <w:rPr>
          <w:rFonts w:ascii="Arial"/>
          <w:color w:val="414042"/>
          <w:sz w:val="10"/>
        </w:rPr>
        <w:t>1.5</w:t>
      </w:r>
    </w:p>
    <w:p>
      <w:pPr>
        <w:spacing w:line="104" w:lineRule="exact" w:before="6"/>
        <w:ind w:left="0" w:right="45" w:firstLine="0"/>
        <w:jc w:val="right"/>
        <w:rPr>
          <w:rFonts w:ascii="Arial"/>
          <w:sz w:val="10"/>
        </w:rPr>
      </w:pPr>
      <w:r>
        <w:rPr>
          <w:rFonts w:ascii="Arial"/>
          <w:color w:val="414042"/>
          <w:w w:val="100"/>
          <w:sz w:val="10"/>
        </w:rPr>
        <w:t>1</w:t>
      </w:r>
    </w:p>
    <w:p>
      <w:pPr>
        <w:spacing w:line="104" w:lineRule="exact" w:before="0"/>
        <w:ind w:left="0" w:right="45" w:firstLine="0"/>
        <w:jc w:val="right"/>
        <w:rPr>
          <w:rFonts w:ascii="Arial"/>
          <w:sz w:val="10"/>
        </w:rPr>
      </w:pPr>
      <w:r>
        <w:rPr>
          <w:rFonts w:ascii="Arial"/>
          <w:color w:val="414042"/>
          <w:sz w:val="10"/>
        </w:rPr>
        <w:t>0.5</w:t>
      </w:r>
    </w:p>
    <w:p>
      <w:pPr>
        <w:spacing w:line="102" w:lineRule="exact" w:before="81"/>
        <w:ind w:left="0" w:right="46" w:firstLine="0"/>
        <w:jc w:val="right"/>
        <w:rPr>
          <w:rFonts w:ascii="Arial"/>
          <w:sz w:val="10"/>
        </w:rPr>
      </w:pPr>
      <w:r>
        <w:rPr>
          <w:rFonts w:ascii="Arial"/>
          <w:color w:val="414042"/>
          <w:w w:val="100"/>
          <w:sz w:val="10"/>
        </w:rPr>
        <w:t>5</w:t>
      </w:r>
    </w:p>
    <w:p>
      <w:pPr>
        <w:spacing w:line="86" w:lineRule="exact" w:before="0"/>
        <w:ind w:left="0" w:right="47" w:firstLine="0"/>
        <w:jc w:val="right"/>
        <w:rPr>
          <w:rFonts w:ascii="Arial"/>
          <w:sz w:val="10"/>
        </w:rPr>
      </w:pPr>
      <w:r>
        <w:rPr>
          <w:rFonts w:ascii="Arial"/>
          <w:color w:val="414042"/>
          <w:w w:val="100"/>
          <w:sz w:val="10"/>
        </w:rPr>
        <w:t>4</w:t>
      </w:r>
    </w:p>
    <w:p>
      <w:pPr>
        <w:spacing w:line="83" w:lineRule="exact" w:before="0"/>
        <w:ind w:left="0" w:right="44" w:firstLine="0"/>
        <w:jc w:val="right"/>
        <w:rPr>
          <w:rFonts w:ascii="Arial"/>
          <w:sz w:val="10"/>
        </w:rPr>
      </w:pPr>
      <w:r>
        <w:rPr>
          <w:rFonts w:ascii="Arial"/>
          <w:color w:val="414042"/>
          <w:w w:val="100"/>
          <w:sz w:val="10"/>
        </w:rPr>
        <w:t>3</w:t>
      </w:r>
    </w:p>
    <w:p>
      <w:pPr>
        <w:spacing w:line="88" w:lineRule="exact" w:before="0"/>
        <w:ind w:left="0" w:right="45" w:firstLine="0"/>
        <w:jc w:val="right"/>
        <w:rPr>
          <w:rFonts w:ascii="Arial"/>
          <w:sz w:val="10"/>
        </w:rPr>
      </w:pPr>
      <w:r>
        <w:rPr>
          <w:rFonts w:ascii="Arial"/>
          <w:color w:val="414042"/>
          <w:w w:val="100"/>
          <w:sz w:val="10"/>
        </w:rPr>
        <w:t>2</w:t>
      </w:r>
    </w:p>
    <w:p>
      <w:pPr>
        <w:spacing w:line="104" w:lineRule="exact" w:before="0"/>
        <w:ind w:left="0" w:right="43" w:firstLine="0"/>
        <w:jc w:val="right"/>
        <w:rPr>
          <w:rFonts w:ascii="Arial"/>
          <w:sz w:val="10"/>
        </w:rPr>
      </w:pPr>
      <w:r>
        <w:rPr>
          <w:rFonts w:ascii="Arial"/>
          <w:color w:val="414042"/>
          <w:w w:val="100"/>
          <w:sz w:val="10"/>
        </w:rPr>
        <w:t>1</w:t>
      </w:r>
    </w:p>
    <w:p>
      <w:pPr>
        <w:pStyle w:val="BodyText"/>
        <w:spacing w:before="9"/>
        <w:rPr>
          <w:rFonts w:ascii="Arial"/>
          <w:sz w:val="9"/>
        </w:rPr>
      </w:pPr>
    </w:p>
    <w:p>
      <w:pPr>
        <w:spacing w:before="0"/>
        <w:ind w:left="0" w:right="47" w:firstLine="0"/>
        <w:jc w:val="right"/>
        <w:rPr>
          <w:rFonts w:ascii="Arial"/>
          <w:sz w:val="10"/>
        </w:rPr>
      </w:pPr>
      <w:r>
        <w:rPr>
          <w:rFonts w:ascii="Arial"/>
          <w:color w:val="414042"/>
          <w:sz w:val="10"/>
        </w:rPr>
        <w:t>1.5</w:t>
      </w:r>
    </w:p>
    <w:p>
      <w:pPr>
        <w:spacing w:before="16"/>
        <w:ind w:left="0" w:right="42" w:firstLine="0"/>
        <w:jc w:val="right"/>
        <w:rPr>
          <w:rFonts w:ascii="Arial"/>
          <w:sz w:val="10"/>
        </w:rPr>
      </w:pPr>
      <w:r>
        <w:rPr>
          <w:rFonts w:ascii="Arial"/>
          <w:color w:val="414042"/>
          <w:w w:val="100"/>
          <w:sz w:val="10"/>
        </w:rPr>
        <w:t>1</w:t>
      </w:r>
    </w:p>
    <w:p>
      <w:pPr>
        <w:spacing w:before="20"/>
        <w:ind w:left="0" w:right="45" w:firstLine="0"/>
        <w:jc w:val="right"/>
        <w:rPr>
          <w:rFonts w:ascii="Arial"/>
          <w:sz w:val="10"/>
        </w:rPr>
      </w:pPr>
      <w:r>
        <w:rPr>
          <w:rFonts w:ascii="Arial"/>
          <w:color w:val="414042"/>
          <w:sz w:val="10"/>
        </w:rPr>
        <w:t>0.5</w:t>
      </w:r>
    </w:p>
    <w:p>
      <w:pPr>
        <w:pStyle w:val="BodyText"/>
        <w:spacing w:before="9"/>
        <w:rPr>
          <w:rFonts w:ascii="Arial"/>
          <w:sz w:val="12"/>
        </w:rPr>
      </w:pPr>
    </w:p>
    <w:p>
      <w:pPr>
        <w:spacing w:line="112" w:lineRule="exact" w:before="0"/>
        <w:ind w:left="0" w:right="56" w:firstLine="0"/>
        <w:jc w:val="right"/>
        <w:rPr>
          <w:rFonts w:ascii="Arial"/>
          <w:sz w:val="10"/>
        </w:rPr>
      </w:pPr>
      <w:r>
        <w:rPr>
          <w:rFonts w:ascii="Arial"/>
          <w:color w:val="414042"/>
          <w:sz w:val="10"/>
        </w:rPr>
        <w:t>80</w:t>
      </w:r>
    </w:p>
    <w:p>
      <w:pPr>
        <w:spacing w:line="111" w:lineRule="exact" w:before="0"/>
        <w:ind w:left="0" w:right="59" w:firstLine="0"/>
        <w:jc w:val="right"/>
        <w:rPr>
          <w:rFonts w:ascii="Arial"/>
          <w:sz w:val="10"/>
        </w:rPr>
      </w:pPr>
      <w:r>
        <w:rPr>
          <w:rFonts w:ascii="Arial"/>
          <w:color w:val="414042"/>
          <w:sz w:val="10"/>
        </w:rPr>
        <w:t>60</w:t>
      </w:r>
    </w:p>
    <w:p>
      <w:pPr>
        <w:spacing w:line="114" w:lineRule="exact" w:before="0"/>
        <w:ind w:left="0" w:right="58" w:firstLine="0"/>
        <w:jc w:val="right"/>
        <w:rPr>
          <w:rFonts w:ascii="Arial"/>
          <w:sz w:val="10"/>
        </w:rPr>
      </w:pPr>
      <w:r>
        <w:rPr>
          <w:rFonts w:ascii="Arial"/>
          <w:color w:val="414042"/>
          <w:sz w:val="10"/>
        </w:rPr>
        <w:t>40</w:t>
      </w:r>
    </w:p>
    <w:p>
      <w:pPr>
        <w:spacing w:before="1"/>
        <w:ind w:left="0" w:right="62" w:firstLine="0"/>
        <w:jc w:val="right"/>
        <w:rPr>
          <w:rFonts w:ascii="Arial"/>
          <w:sz w:val="10"/>
        </w:rPr>
      </w:pPr>
      <w:r>
        <w:rPr>
          <w:rFonts w:ascii="Arial"/>
          <w:color w:val="414042"/>
          <w:sz w:val="10"/>
        </w:rPr>
        <w:t>20</w:t>
      </w:r>
    </w:p>
    <w:p>
      <w:pPr>
        <w:pStyle w:val="BodyText"/>
        <w:spacing w:before="1"/>
        <w:rPr>
          <w:rFonts w:ascii="Arial"/>
          <w:sz w:val="12"/>
        </w:rPr>
      </w:pPr>
    </w:p>
    <w:p>
      <w:pPr>
        <w:spacing w:before="1"/>
        <w:ind w:left="0" w:right="43" w:firstLine="0"/>
        <w:jc w:val="right"/>
        <w:rPr>
          <w:rFonts w:ascii="Arial"/>
          <w:sz w:val="10"/>
        </w:rPr>
      </w:pPr>
      <w:r>
        <w:rPr>
          <w:rFonts w:ascii="Arial"/>
          <w:color w:val="414042"/>
          <w:w w:val="100"/>
          <w:sz w:val="10"/>
        </w:rPr>
        <w:t>2</w:t>
      </w:r>
    </w:p>
    <w:p>
      <w:pPr>
        <w:spacing w:before="49"/>
        <w:ind w:left="0" w:right="38" w:firstLine="0"/>
        <w:jc w:val="right"/>
        <w:rPr>
          <w:rFonts w:ascii="Arial"/>
          <w:sz w:val="10"/>
        </w:rPr>
      </w:pPr>
      <w:r>
        <w:rPr>
          <w:rFonts w:ascii="Arial"/>
          <w:color w:val="414042"/>
          <w:w w:val="100"/>
          <w:sz w:val="10"/>
        </w:rPr>
        <w:t>1</w:t>
      </w:r>
    </w:p>
    <w:p>
      <w:pPr>
        <w:spacing w:line="273" w:lineRule="exact" w:before="59"/>
        <w:ind w:left="2471" w:right="0" w:firstLine="0"/>
        <w:jc w:val="left"/>
        <w:rPr>
          <w:rFonts w:ascii="Arial"/>
          <w:sz w:val="27"/>
        </w:rPr>
      </w:pPr>
      <w:r>
        <w:rPr/>
        <w:br w:type="column"/>
      </w:r>
      <w:r>
        <w:rPr>
          <w:rFonts w:ascii="Arial"/>
          <w:color w:val="231F20"/>
          <w:sz w:val="27"/>
        </w:rPr>
        <w:t>B</w:t>
      </w:r>
    </w:p>
    <w:p>
      <w:pPr>
        <w:spacing w:line="133" w:lineRule="exact" w:before="0"/>
        <w:ind w:left="1115" w:right="0" w:firstLine="0"/>
        <w:jc w:val="left"/>
        <w:rPr>
          <w:rFonts w:ascii="Arial"/>
          <w:sz w:val="11"/>
        </w:rPr>
      </w:pPr>
      <w:r>
        <w:rPr/>
        <w:pict>
          <v:group style="position:absolute;margin-left:412.752991pt;margin-top:-7.306712pt;width:63.1pt;height:134.950pt;mso-position-horizontal-relative:page;mso-position-vertical-relative:paragraph;z-index:3928" coordorigin="8255,-146" coordsize="1262,2699">
            <v:shape style="position:absolute;left:0;top:8863;width:1237;height:2694" coordorigin="0,8863" coordsize="1237,2694" path="m8277,2018l9514,2018m8277,1462l9514,1462m8277,923l9514,923m8277,402l9514,402m8277,-144l9514,-144,9514,2550,8277,2550,8277,-144xe" filled="false" stroked="true" strokeweight=".24pt" strokecolor="#231f20">
              <v:path arrowok="t"/>
              <v:stroke dashstyle="solid"/>
            </v:shape>
            <v:line style="position:absolute" from="8397,-123" to="8397,402" stroked="true" strokeweight="5.741pt" strokecolor="#00a650">
              <v:stroke dashstyle="solid"/>
            </v:line>
            <v:rect style="position:absolute;left:8339;top:-123;width:115;height:525" filled="false" stroked="true" strokeweight=".241pt" strokecolor="#231f20">
              <v:stroke dashstyle="solid"/>
            </v:rect>
            <v:line style="position:absolute" from="8644,39" to="8644,402" stroked="true" strokeweight="5.74pt" strokecolor="#a6ce39">
              <v:stroke dashstyle="solid"/>
            </v:line>
            <v:rect style="position:absolute;left:8586;top:39;width:115;height:363" filled="false" stroked="true" strokeweight=".241pt" strokecolor="#231f20">
              <v:stroke dashstyle="solid"/>
            </v:rect>
            <v:line style="position:absolute" from="8896,71" to="8896,402" stroked="true" strokeweight="5.299pt" strokecolor="#adbc72">
              <v:stroke dashstyle="solid"/>
            </v:line>
            <v:rect style="position:absolute;left:8842;top:70;width:106;height:332" filled="false" stroked="true" strokeweight=".241pt" strokecolor="#231f20">
              <v:stroke dashstyle="solid"/>
            </v:rect>
            <v:line style="position:absolute" from="9147,102" to="9147,402" stroked="true" strokeweight="5.74pt" strokecolor="#fff200">
              <v:stroke dashstyle="solid"/>
            </v:line>
            <v:rect style="position:absolute;left:9089;top:102;width:115;height:300" filled="false" stroked="true" strokeweight=".241pt" strokecolor="#231f20">
              <v:stroke dashstyle="solid"/>
            </v:rect>
            <v:line style="position:absolute" from="9399,221" to="9399,402" stroked="true" strokeweight="5.299pt" strokecolor="#fff9ae">
              <v:stroke dashstyle="solid"/>
            </v:line>
            <v:rect style="position:absolute;left:9345;top:221;width:106;height:181" filled="false" stroked="true" strokeweight=".241pt" strokecolor="#231f20">
              <v:stroke dashstyle="solid"/>
            </v:rect>
            <v:rect style="position:absolute;left:8339;top:859;width:115;height:64" filled="true" fillcolor="#00a650" stroked="false">
              <v:fill type="solid"/>
            </v:rect>
            <v:rect style="position:absolute;left:8339;top:859;width:115;height:64" filled="false" stroked="true" strokeweight=".241pt" strokecolor="#231f20">
              <v:stroke dashstyle="solid"/>
            </v:rect>
            <v:line style="position:absolute" from="8644,533" to="8644,923" stroked="true" strokeweight="5.74pt" strokecolor="#a6ce39">
              <v:stroke dashstyle="solid"/>
            </v:line>
            <v:rect style="position:absolute;left:8586;top:532;width:115;height:391" filled="false" stroked="true" strokeweight=".241pt" strokecolor="#231f20">
              <v:stroke dashstyle="solid"/>
            </v:rect>
            <v:line style="position:absolute" from="8896,707" to="8896,923" stroked="true" strokeweight="5.299pt" strokecolor="#adbc72">
              <v:stroke dashstyle="solid"/>
            </v:line>
            <v:rect style="position:absolute;left:8842;top:706;width:106;height:217" filled="false" stroked="true" strokeweight=".241pt" strokecolor="#231f20">
              <v:stroke dashstyle="solid"/>
            </v:rect>
            <v:line style="position:absolute" from="9152,437" to="9152,923" stroked="true" strokeweight="6.184pt" strokecolor="#fff200">
              <v:stroke dashstyle="solid"/>
            </v:line>
            <v:rect style="position:absolute;left:9089;top:437;width:124;height:486" filled="false" stroked="true" strokeweight=".241pt" strokecolor="#231f20">
              <v:stroke dashstyle="solid"/>
            </v:rect>
            <v:line style="position:absolute" from="9399,1067" to="9399,1464" stroked="true" strokeweight="5.299pt" strokecolor="#fff9ae">
              <v:stroke dashstyle="solid"/>
            </v:line>
            <v:rect style="position:absolute;left:9345;top:1066;width:106;height:398" filled="false" stroked="true" strokeweight=".241pt" strokecolor="#231f20">
              <v:stroke dashstyle="solid"/>
            </v:rect>
            <v:rect style="position:absolute;left:8842;top:1348;width:106;height:114" filled="true" fillcolor="#adbc72" stroked="false">
              <v:fill type="solid"/>
            </v:rect>
            <v:rect style="position:absolute;left:8842;top:1348;width:106;height:114" filled="false" stroked="true" strokeweight=".241pt" strokecolor="#231f20">
              <v:stroke dashstyle="solid"/>
            </v:rect>
            <v:line style="position:absolute" from="9152,1497" to="9152,2018" stroked="true" strokeweight="6.184pt" strokecolor="#fff200">
              <v:stroke dashstyle="solid"/>
            </v:line>
            <v:rect style="position:absolute;left:9089;top:1497;width:124;height:522" filled="false" stroked="true" strokeweight=".241pt" strokecolor="#231f20">
              <v:stroke dashstyle="solid"/>
            </v:rect>
            <v:line style="position:absolute" from="9399,1791" to="9399,2016" stroked="true" strokeweight="5.299pt" strokecolor="#fff9ae">
              <v:stroke dashstyle="solid"/>
            </v:line>
            <v:rect style="position:absolute;left:9345;top:1790;width:106;height:226" filled="false" stroked="true" strokeweight=".241pt" strokecolor="#231f20">
              <v:stroke dashstyle="solid"/>
            </v:rect>
            <v:line style="position:absolute" from="9399,561" to="9399,923" stroked="true" strokeweight="5.299pt" strokecolor="#fff9ae">
              <v:stroke dashstyle="solid"/>
            </v:line>
            <v:rect style="position:absolute;left:9345;top:560;width:106;height:363" filled="false" stroked="true" strokeweight=".241pt" strokecolor="#231f20">
              <v:stroke dashstyle="solid"/>
            </v:rect>
            <v:rect style="position:absolute;left:8339;top:1452;width:115;height:10" filled="true" fillcolor="#00a650" stroked="false">
              <v:fill type="solid"/>
            </v:rect>
            <v:line style="position:absolute" from="8644,1840" to="8644,2018" stroked="true" strokeweight="5.74pt" strokecolor="#a6ce39">
              <v:stroke dashstyle="solid"/>
            </v:line>
            <v:rect style="position:absolute;left:8586;top:1839;width:115;height:179" filled="false" stroked="true" strokeweight=".241pt" strokecolor="#231f20">
              <v:stroke dashstyle="solid"/>
            </v:rect>
            <v:line style="position:absolute" from="8896,1873" to="8896,2018" stroked="true" strokeweight="5.299pt" strokecolor="#adbc72">
              <v:stroke dashstyle="solid"/>
            </v:line>
            <v:rect style="position:absolute;left:8842;top:1872;width:106;height:146" filled="false" stroked="true" strokeweight=".241pt" strokecolor="#231f20">
              <v:stroke dashstyle="solid"/>
            </v:rect>
            <v:rect style="position:absolute;left:8339;top:1980;width:115;height:38" filled="true" fillcolor="#00a650" stroked="false">
              <v:fill type="solid"/>
            </v:rect>
            <v:rect style="position:absolute;left:8339;top:1980;width:115;height:38" filled="false" stroked="true" strokeweight=".241pt" strokecolor="#231f20">
              <v:stroke dashstyle="solid"/>
            </v:rect>
            <v:line style="position:absolute" from="8397,2374" to="8397,2548" stroked="true" strokeweight="5.741pt" strokecolor="#00a650">
              <v:stroke dashstyle="solid"/>
            </v:line>
            <v:rect style="position:absolute;left:8339;top:2373;width:115;height:175" filled="false" stroked="true" strokeweight=".241pt" strokecolor="#231f20">
              <v:stroke dashstyle="solid"/>
            </v:rect>
            <v:line style="position:absolute" from="8644,2374" to="8644,2548" stroked="true" strokeweight="5.74pt" strokecolor="#a6ce39">
              <v:stroke dashstyle="solid"/>
            </v:line>
            <v:rect style="position:absolute;left:8586;top:2373;width:115;height:175" filled="false" stroked="true" strokeweight=".241pt" strokecolor="#231f20">
              <v:stroke dashstyle="solid"/>
            </v:rect>
            <v:line style="position:absolute" from="8896,2374" to="8896,2548" stroked="true" strokeweight="5.299pt" strokecolor="#adbc72">
              <v:stroke dashstyle="solid"/>
            </v:line>
            <v:rect style="position:absolute;left:8842;top:2373;width:106;height:175" filled="false" stroked="true" strokeweight=".241pt" strokecolor="#231f20">
              <v:stroke dashstyle="solid"/>
            </v:rect>
            <v:line style="position:absolute" from="9152,2270" to="9152,2548" stroked="true" strokeweight="6.184pt" strokecolor="#fff200">
              <v:stroke dashstyle="solid"/>
            </v:line>
            <v:rect style="position:absolute;left:9089;top:2270;width:124;height:278" filled="false" stroked="true" strokeweight=".241pt" strokecolor="#231f20">
              <v:stroke dashstyle="solid"/>
            </v:rect>
            <v:rect style="position:absolute;left:9345;top:2487;width:106;height:61" filled="true" fillcolor="#fff9ae" stroked="false">
              <v:fill type="solid"/>
            </v:rect>
            <v:rect style="position:absolute;left:9345;top:2487;width:106;height:61" filled="false" stroked="true" strokeweight=".241pt" strokecolor="#231f20">
              <v:stroke dashstyle="solid"/>
            </v:rect>
            <v:line style="position:absolute" from="9152,1096" to="9152,1462" stroked="true" strokeweight="6.184pt" strokecolor="#fff200">
              <v:stroke dashstyle="solid"/>
            </v:line>
            <v:shape style="position:absolute;left:8255;top:-32;width:959;height:2479" coordorigin="8255,-32" coordsize="959,2479" path="m9090,1096l9214,1096,9214,1462,9090,1462,9090,1096xm8261,2266l8289,2266m8260,2447l8288,2447m8255,2355l8283,2355m8260,2163l8288,2163m8264,1918l8292,1918m8263,1805l8291,1805m8264,1693l8292,1693m8260,1583l8288,1583m8255,1318l8284,1318m8262,1178l8290,1178m8255,1045l8283,1045m8266,833l8294,833m8270,737l8298,737m8266,649l8294,649m8264,650l8292,650m8263,570l8291,570m8264,480l8292,480m8262,285l8291,285m8264,183l8292,183m8262,73l8290,73m8263,-32l8291,-32e" filled="false" stroked="true" strokeweight=".241pt" strokecolor="#231f20">
              <v:path arrowok="t"/>
              <v:stroke dashstyle="solid"/>
            </v:shape>
            <v:rect style="position:absolute;left:8586;top:1403;width:115;height:59" filled="true" fillcolor="#a6ce39" stroked="false">
              <v:fill type="solid"/>
            </v:rect>
            <v:rect style="position:absolute;left:8586;top:1403;width:115;height:59" filled="false" stroked="true" strokeweight=".241pt" strokecolor="#231f20">
              <v:stroke dashstyle="solid"/>
            </v:rect>
            <v:shape style="position:absolute;left:8331;top:-70;width:1146;height:1442" type="#_x0000_t202" filled="false" stroked="false">
              <v:textbox inset="0,0,0,0">
                <w:txbxContent>
                  <w:p>
                    <w:pPr>
                      <w:spacing w:before="0"/>
                      <w:ind w:left="623" w:right="0" w:firstLine="0"/>
                      <w:jc w:val="left"/>
                      <w:rPr>
                        <w:rFonts w:ascii="Arial"/>
                        <w:sz w:val="11"/>
                      </w:rPr>
                    </w:pPr>
                    <w:r>
                      <w:rPr>
                        <w:rFonts w:ascii="Arial"/>
                        <w:color w:val="414042"/>
                        <w:w w:val="105"/>
                        <w:sz w:val="11"/>
                      </w:rPr>
                      <w:t>Cu (wt.%)</w:t>
                    </w:r>
                  </w:p>
                  <w:p>
                    <w:pPr>
                      <w:spacing w:line="240" w:lineRule="auto" w:before="0"/>
                      <w:rPr>
                        <w:sz w:val="12"/>
                      </w:rPr>
                    </w:pPr>
                  </w:p>
                  <w:p>
                    <w:pPr>
                      <w:spacing w:line="240" w:lineRule="auto" w:before="0"/>
                      <w:rPr>
                        <w:sz w:val="12"/>
                      </w:rPr>
                    </w:pPr>
                  </w:p>
                  <w:p>
                    <w:pPr>
                      <w:spacing w:before="81"/>
                      <w:ind w:left="405" w:right="414" w:firstLine="0"/>
                      <w:jc w:val="center"/>
                      <w:rPr>
                        <w:rFonts w:ascii="Arial"/>
                        <w:sz w:val="11"/>
                      </w:rPr>
                    </w:pPr>
                    <w:r>
                      <w:rPr>
                        <w:rFonts w:ascii="Arial"/>
                        <w:color w:val="414042"/>
                        <w:w w:val="105"/>
                        <w:sz w:val="11"/>
                      </w:rPr>
                      <w:t>Zn </w:t>
                    </w:r>
                    <w:r>
                      <w:rPr>
                        <w:rFonts w:ascii="Arial"/>
                        <w:color w:val="414042"/>
                        <w:sz w:val="11"/>
                      </w:rPr>
                      <w:t>(wt.%)</w:t>
                    </w:r>
                  </w:p>
                  <w:p>
                    <w:pPr>
                      <w:spacing w:line="240" w:lineRule="auto" w:before="0"/>
                      <w:rPr>
                        <w:sz w:val="12"/>
                      </w:rPr>
                    </w:pPr>
                  </w:p>
                  <w:p>
                    <w:pPr>
                      <w:spacing w:line="240" w:lineRule="auto" w:before="0"/>
                      <w:rPr>
                        <w:sz w:val="12"/>
                      </w:rPr>
                    </w:pPr>
                  </w:p>
                  <w:p>
                    <w:pPr>
                      <w:spacing w:before="99"/>
                      <w:ind w:left="0" w:right="0" w:firstLine="0"/>
                      <w:jc w:val="left"/>
                      <w:rPr>
                        <w:rFonts w:ascii="Arial"/>
                        <w:sz w:val="11"/>
                      </w:rPr>
                    </w:pPr>
                    <w:r>
                      <w:rPr>
                        <w:rFonts w:ascii="Arial"/>
                        <w:color w:val="414042"/>
                        <w:w w:val="105"/>
                        <w:sz w:val="11"/>
                      </w:rPr>
                      <w:t>Pb (wt.%)</w:t>
                    </w:r>
                  </w:p>
                  <w:p>
                    <w:pPr>
                      <w:spacing w:before="88"/>
                      <w:ind w:left="5" w:right="0" w:firstLine="0"/>
                      <w:jc w:val="left"/>
                      <w:rPr>
                        <w:rFonts w:ascii="Arial"/>
                        <w:sz w:val="10"/>
                      </w:rPr>
                    </w:pPr>
                    <w:r>
                      <w:rPr>
                        <w:rFonts w:ascii="Arial"/>
                        <w:color w:val="414042"/>
                        <w:w w:val="100"/>
                        <w:sz w:val="10"/>
                        <w:u w:val="single" w:color="231F20"/>
                      </w:rPr>
                      <w:t> </w:t>
                    </w:r>
                    <w:r>
                      <w:rPr>
                        <w:rFonts w:ascii="Arial"/>
                        <w:color w:val="414042"/>
                        <w:spacing w:val="7"/>
                        <w:sz w:val="10"/>
                        <w:u w:val="single" w:color="231F20"/>
                      </w:rPr>
                      <w:t> </w:t>
                    </w:r>
                  </w:p>
                </w:txbxContent>
              </v:textbox>
              <w10:wrap type="none"/>
            </v:shape>
            <v:shape style="position:absolute;left:8352;top:1553;width:395;height:128" type="#_x0000_t202" filled="false" stroked="false">
              <v:textbox inset="0,0,0,0">
                <w:txbxContent>
                  <w:p>
                    <w:pPr>
                      <w:spacing w:before="0"/>
                      <w:ind w:left="0" w:right="0" w:firstLine="0"/>
                      <w:jc w:val="left"/>
                      <w:rPr>
                        <w:rFonts w:ascii="Arial"/>
                        <w:sz w:val="11"/>
                      </w:rPr>
                    </w:pPr>
                    <w:r>
                      <w:rPr>
                        <w:rFonts w:ascii="Arial"/>
                        <w:color w:val="414042"/>
                        <w:w w:val="105"/>
                        <w:sz w:val="11"/>
                      </w:rPr>
                      <w:t>Ag (g/t)</w:t>
                    </w:r>
                  </w:p>
                </w:txbxContent>
              </v:textbox>
              <w10:wrap type="none"/>
            </v:shape>
            <v:shape style="position:absolute;left:8907;top:1482;width:188;height:113" type="#_x0000_t202" filled="false" stroked="false">
              <v:textbox inset="0,0,0,0">
                <w:txbxContent>
                  <w:p>
                    <w:pPr>
                      <w:spacing w:line="112" w:lineRule="exact" w:before="0"/>
                      <w:ind w:left="0" w:right="0" w:firstLine="0"/>
                      <w:jc w:val="left"/>
                      <w:rPr>
                        <w:rFonts w:ascii="Arial"/>
                        <w:sz w:val="10"/>
                      </w:rPr>
                    </w:pPr>
                    <w:r>
                      <w:rPr>
                        <w:rFonts w:ascii="Arial"/>
                        <w:color w:val="414042"/>
                        <w:sz w:val="10"/>
                      </w:rPr>
                      <w:t>109</w:t>
                    </w:r>
                  </w:p>
                </w:txbxContent>
              </v:textbox>
              <w10:wrap type="none"/>
            </v:shape>
            <v:shape style="position:absolute;left:8476;top:2141;width:395;height:128" type="#_x0000_t202" filled="false" stroked="false">
              <v:textbox inset="0,0,0,0">
                <w:txbxContent>
                  <w:p>
                    <w:pPr>
                      <w:spacing w:before="0"/>
                      <w:ind w:left="0" w:right="0" w:firstLine="0"/>
                      <w:jc w:val="left"/>
                      <w:rPr>
                        <w:rFonts w:ascii="Arial"/>
                        <w:sz w:val="11"/>
                      </w:rPr>
                    </w:pPr>
                    <w:r>
                      <w:rPr>
                        <w:rFonts w:ascii="Arial"/>
                        <w:color w:val="414042"/>
                        <w:w w:val="105"/>
                        <w:sz w:val="11"/>
                      </w:rPr>
                      <w:t>Au (g/t)</w:t>
                    </w:r>
                  </w:p>
                </w:txbxContent>
              </v:textbox>
              <w10:wrap type="none"/>
            </v:shape>
            <w10:wrap type="none"/>
          </v:group>
        </w:pict>
      </w:r>
      <w:r>
        <w:rPr>
          <w:position w:val="-5"/>
        </w:rPr>
        <w:drawing>
          <wp:inline distT="0" distB="0" distL="0" distR="0">
            <wp:extent cx="186016" cy="118275"/>
            <wp:effectExtent l="0" t="0" r="0" b="0"/>
            <wp:docPr id="45" name="image126.png" descr=""/>
            <wp:cNvGraphicFramePr>
              <a:graphicFrameLocks noChangeAspect="1"/>
            </wp:cNvGraphicFramePr>
            <a:graphic>
              <a:graphicData uri="http://schemas.openxmlformats.org/drawingml/2006/picture">
                <pic:pic>
                  <pic:nvPicPr>
                    <pic:cNvPr id="46" name="image126.png"/>
                    <pic:cNvPicPr/>
                  </pic:nvPicPr>
                  <pic:blipFill>
                    <a:blip r:embed="rId135" cstate="print"/>
                    <a:stretch>
                      <a:fillRect/>
                    </a:stretch>
                  </pic:blipFill>
                  <pic:spPr>
                    <a:xfrm>
                      <a:off x="0" y="0"/>
                      <a:ext cx="186016" cy="118275"/>
                    </a:xfrm>
                    <a:prstGeom prst="rect">
                      <a:avLst/>
                    </a:prstGeom>
                  </pic:spPr>
                </pic:pic>
              </a:graphicData>
            </a:graphic>
          </wp:inline>
        </w:drawing>
      </w:r>
      <w:r>
        <w:rPr>
          <w:position w:val="-5"/>
        </w:rPr>
      </w:r>
      <w:r>
        <w:rPr>
          <w:spacing w:val="10"/>
          <w:sz w:val="20"/>
        </w:rPr>
        <w:t> </w:t>
      </w:r>
      <w:r>
        <w:rPr>
          <w:rFonts w:ascii="Arial"/>
          <w:color w:val="414042"/>
          <w:w w:val="105"/>
          <w:sz w:val="11"/>
        </w:rPr>
        <w:t>MAFIC</w:t>
      </w:r>
    </w:p>
    <w:p>
      <w:pPr>
        <w:spacing w:line="110" w:lineRule="exact" w:before="0"/>
        <w:ind w:left="1468" w:right="0" w:firstLine="0"/>
        <w:jc w:val="left"/>
        <w:rPr>
          <w:rFonts w:ascii="Arial"/>
          <w:sz w:val="11"/>
        </w:rPr>
      </w:pPr>
      <w:r>
        <w:rPr>
          <w:rFonts w:ascii="Arial"/>
          <w:color w:val="414042"/>
          <w:w w:val="105"/>
          <w:sz w:val="11"/>
        </w:rPr>
        <w:t>(Ophiolite type)</w:t>
      </w:r>
    </w:p>
    <w:p>
      <w:pPr>
        <w:spacing w:line="268" w:lineRule="auto" w:before="6"/>
        <w:ind w:left="1468" w:right="1503" w:firstLine="0"/>
        <w:jc w:val="left"/>
        <w:rPr>
          <w:rFonts w:ascii="Arial"/>
          <w:sz w:val="11"/>
        </w:rPr>
      </w:pPr>
      <w:r>
        <w:rPr>
          <w:rFonts w:ascii="Arial"/>
          <w:color w:val="414042"/>
          <w:w w:val="105"/>
          <w:sz w:val="11"/>
        </w:rPr>
        <w:t>e.g. Tilt Cove, Newfoundland</w:t>
      </w:r>
    </w:p>
    <w:p>
      <w:pPr>
        <w:spacing w:line="178" w:lineRule="exact" w:before="30"/>
        <w:ind w:left="1115" w:right="0" w:firstLine="0"/>
        <w:jc w:val="left"/>
        <w:rPr>
          <w:rFonts w:ascii="Arial"/>
          <w:sz w:val="11"/>
        </w:rPr>
      </w:pPr>
      <w:r>
        <w:rPr>
          <w:position w:val="-3"/>
        </w:rPr>
        <w:drawing>
          <wp:inline distT="0" distB="0" distL="0" distR="0">
            <wp:extent cx="186042" cy="118262"/>
            <wp:effectExtent l="0" t="0" r="0" b="0"/>
            <wp:docPr id="47" name="image127.png" descr=""/>
            <wp:cNvGraphicFramePr>
              <a:graphicFrameLocks noChangeAspect="1"/>
            </wp:cNvGraphicFramePr>
            <a:graphic>
              <a:graphicData uri="http://schemas.openxmlformats.org/drawingml/2006/picture">
                <pic:pic>
                  <pic:nvPicPr>
                    <pic:cNvPr id="48" name="image127.png"/>
                    <pic:cNvPicPr/>
                  </pic:nvPicPr>
                  <pic:blipFill>
                    <a:blip r:embed="rId136" cstate="print"/>
                    <a:stretch>
                      <a:fillRect/>
                    </a:stretch>
                  </pic:blipFill>
                  <pic:spPr>
                    <a:xfrm>
                      <a:off x="0" y="0"/>
                      <a:ext cx="186042" cy="118262"/>
                    </a:xfrm>
                    <a:prstGeom prst="rect">
                      <a:avLst/>
                    </a:prstGeom>
                  </pic:spPr>
                </pic:pic>
              </a:graphicData>
            </a:graphic>
          </wp:inline>
        </w:drawing>
      </w:r>
      <w:r>
        <w:rPr>
          <w:position w:val="-3"/>
        </w:rPr>
      </w:r>
      <w:r>
        <w:rPr>
          <w:spacing w:val="21"/>
          <w:sz w:val="20"/>
        </w:rPr>
        <w:t> </w:t>
      </w:r>
      <w:r>
        <w:rPr>
          <w:rFonts w:ascii="Arial"/>
          <w:color w:val="414042"/>
          <w:w w:val="105"/>
          <w:sz w:val="11"/>
        </w:rPr>
        <w:t>BIMODAL-MAFIC</w:t>
      </w:r>
    </w:p>
    <w:p>
      <w:pPr>
        <w:spacing w:line="119" w:lineRule="exact" w:before="0"/>
        <w:ind w:left="1480" w:right="0" w:firstLine="0"/>
        <w:jc w:val="left"/>
        <w:rPr>
          <w:rFonts w:ascii="Arial"/>
          <w:sz w:val="11"/>
        </w:rPr>
      </w:pPr>
      <w:r>
        <w:rPr>
          <w:rFonts w:ascii="Arial"/>
          <w:color w:val="414042"/>
          <w:w w:val="105"/>
          <w:sz w:val="11"/>
        </w:rPr>
        <w:t>e.g.  Noranda, Quebec</w:t>
      </w:r>
    </w:p>
    <w:p>
      <w:pPr>
        <w:spacing w:before="5"/>
        <w:ind w:left="1480" w:right="0" w:firstLine="0"/>
        <w:jc w:val="left"/>
        <w:rPr>
          <w:rFonts w:ascii="Arial"/>
          <w:sz w:val="11"/>
        </w:rPr>
      </w:pPr>
      <w:r>
        <w:rPr>
          <w:rFonts w:ascii="Arial"/>
          <w:color w:val="414042"/>
          <w:w w:val="105"/>
          <w:sz w:val="11"/>
        </w:rPr>
        <w:t>&amp; Kidd Creek, Ontario</w:t>
      </w:r>
    </w:p>
    <w:p>
      <w:pPr>
        <w:pStyle w:val="BodyText"/>
        <w:spacing w:before="2"/>
        <w:rPr>
          <w:rFonts w:ascii="Arial"/>
          <w:sz w:val="14"/>
        </w:rPr>
      </w:pPr>
    </w:p>
    <w:p>
      <w:pPr>
        <w:spacing w:line="168" w:lineRule="auto" w:before="0"/>
        <w:ind w:left="1469" w:right="1088" w:hanging="355"/>
        <w:jc w:val="left"/>
        <w:rPr>
          <w:rFonts w:ascii="Arial"/>
          <w:sz w:val="11"/>
        </w:rPr>
      </w:pPr>
      <w:r>
        <w:rPr>
          <w:position w:val="-8"/>
        </w:rPr>
        <w:drawing>
          <wp:inline distT="0" distB="0" distL="0" distR="0">
            <wp:extent cx="186042" cy="118262"/>
            <wp:effectExtent l="0" t="0" r="0" b="0"/>
            <wp:docPr id="49" name="image128.png" descr=""/>
            <wp:cNvGraphicFramePr>
              <a:graphicFrameLocks noChangeAspect="1"/>
            </wp:cNvGraphicFramePr>
            <a:graphic>
              <a:graphicData uri="http://schemas.openxmlformats.org/drawingml/2006/picture">
                <pic:pic>
                  <pic:nvPicPr>
                    <pic:cNvPr id="50" name="image128.png"/>
                    <pic:cNvPicPr/>
                  </pic:nvPicPr>
                  <pic:blipFill>
                    <a:blip r:embed="rId137" cstate="print"/>
                    <a:stretch>
                      <a:fillRect/>
                    </a:stretch>
                  </pic:blipFill>
                  <pic:spPr>
                    <a:xfrm>
                      <a:off x="0" y="0"/>
                      <a:ext cx="186042" cy="118262"/>
                    </a:xfrm>
                    <a:prstGeom prst="rect">
                      <a:avLst/>
                    </a:prstGeom>
                  </pic:spPr>
                </pic:pic>
              </a:graphicData>
            </a:graphic>
          </wp:inline>
        </w:drawing>
      </w:r>
      <w:r>
        <w:rPr>
          <w:position w:val="-8"/>
        </w:rPr>
      </w:r>
      <w:r>
        <w:rPr>
          <w:spacing w:val="10"/>
          <w:sz w:val="20"/>
        </w:rPr>
        <w:t> </w:t>
      </w:r>
      <w:r>
        <w:rPr>
          <w:rFonts w:ascii="Arial"/>
          <w:color w:val="414042"/>
          <w:w w:val="105"/>
          <w:sz w:val="11"/>
        </w:rPr>
        <w:t>MAFIC- </w:t>
      </w:r>
      <w:r>
        <w:rPr>
          <w:rFonts w:ascii="Arial"/>
          <w:color w:val="414042"/>
          <w:spacing w:val="-1"/>
          <w:w w:val="105"/>
          <w:sz w:val="11"/>
        </w:rPr>
        <w:t>SILICICLASTIC</w:t>
      </w:r>
    </w:p>
    <w:p>
      <w:pPr>
        <w:spacing w:line="268" w:lineRule="auto" w:before="12"/>
        <w:ind w:left="1469" w:right="1088" w:firstLine="0"/>
        <w:jc w:val="left"/>
        <w:rPr>
          <w:rFonts w:ascii="Arial"/>
          <w:sz w:val="11"/>
        </w:rPr>
      </w:pPr>
      <w:r>
        <w:rPr>
          <w:rFonts w:ascii="Arial"/>
          <w:color w:val="414042"/>
          <w:w w:val="105"/>
          <w:sz w:val="11"/>
        </w:rPr>
        <w:t>e.g. Windy Craggy, British Columbia</w:t>
      </w:r>
    </w:p>
    <w:p>
      <w:pPr>
        <w:spacing w:line="174" w:lineRule="exact" w:before="97"/>
        <w:ind w:left="1115" w:right="0" w:firstLine="0"/>
        <w:jc w:val="left"/>
        <w:rPr>
          <w:rFonts w:ascii="Arial"/>
          <w:sz w:val="11"/>
        </w:rPr>
      </w:pPr>
      <w:r>
        <w:rPr>
          <w:position w:val="-4"/>
        </w:rPr>
        <w:drawing>
          <wp:inline distT="0" distB="0" distL="0" distR="0">
            <wp:extent cx="186042" cy="118262"/>
            <wp:effectExtent l="0" t="0" r="0" b="0"/>
            <wp:docPr id="51" name="image129.png" descr=""/>
            <wp:cNvGraphicFramePr>
              <a:graphicFrameLocks noChangeAspect="1"/>
            </wp:cNvGraphicFramePr>
            <a:graphic>
              <a:graphicData uri="http://schemas.openxmlformats.org/drawingml/2006/picture">
                <pic:pic>
                  <pic:nvPicPr>
                    <pic:cNvPr id="52" name="image129.png"/>
                    <pic:cNvPicPr/>
                  </pic:nvPicPr>
                  <pic:blipFill>
                    <a:blip r:embed="rId138" cstate="print"/>
                    <a:stretch>
                      <a:fillRect/>
                    </a:stretch>
                  </pic:blipFill>
                  <pic:spPr>
                    <a:xfrm>
                      <a:off x="0" y="0"/>
                      <a:ext cx="186042" cy="118262"/>
                    </a:xfrm>
                    <a:prstGeom prst="rect">
                      <a:avLst/>
                    </a:prstGeom>
                  </pic:spPr>
                </pic:pic>
              </a:graphicData>
            </a:graphic>
          </wp:inline>
        </w:drawing>
      </w:r>
      <w:r>
        <w:rPr>
          <w:position w:val="-4"/>
        </w:rPr>
      </w:r>
      <w:r>
        <w:rPr>
          <w:spacing w:val="5"/>
          <w:sz w:val="20"/>
        </w:rPr>
        <w:t> </w:t>
      </w:r>
      <w:r>
        <w:rPr>
          <w:rFonts w:ascii="Arial"/>
          <w:color w:val="414042"/>
          <w:w w:val="105"/>
          <w:sz w:val="11"/>
        </w:rPr>
        <w:t>BIMODAL-FELSIC</w:t>
      </w:r>
    </w:p>
    <w:p>
      <w:pPr>
        <w:spacing w:line="114" w:lineRule="exact" w:before="0"/>
        <w:ind w:left="1464" w:right="0" w:firstLine="0"/>
        <w:jc w:val="left"/>
        <w:rPr>
          <w:rFonts w:ascii="Arial"/>
          <w:sz w:val="11"/>
        </w:rPr>
      </w:pPr>
      <w:r>
        <w:rPr>
          <w:rFonts w:ascii="Arial"/>
          <w:color w:val="414042"/>
          <w:w w:val="105"/>
          <w:sz w:val="11"/>
        </w:rPr>
        <w:t>e.g. Myra Falls,</w:t>
      </w:r>
    </w:p>
    <w:p>
      <w:pPr>
        <w:spacing w:before="15"/>
        <w:ind w:left="1464" w:right="0" w:firstLine="0"/>
        <w:jc w:val="left"/>
        <w:rPr>
          <w:rFonts w:ascii="Arial"/>
          <w:sz w:val="11"/>
        </w:rPr>
      </w:pPr>
      <w:r>
        <w:rPr>
          <w:rFonts w:ascii="Arial"/>
          <w:color w:val="414042"/>
          <w:w w:val="105"/>
          <w:sz w:val="11"/>
        </w:rPr>
        <w:t>British Columbia</w:t>
      </w:r>
    </w:p>
    <w:p>
      <w:pPr>
        <w:pStyle w:val="BodyText"/>
        <w:spacing w:before="5"/>
        <w:rPr>
          <w:rFonts w:ascii="Arial"/>
          <w:sz w:val="11"/>
        </w:rPr>
      </w:pPr>
    </w:p>
    <w:p>
      <w:pPr>
        <w:spacing w:line="187" w:lineRule="auto" w:before="0"/>
        <w:ind w:left="1480" w:right="1088" w:hanging="366"/>
        <w:jc w:val="left"/>
        <w:rPr>
          <w:rFonts w:ascii="Arial"/>
          <w:sz w:val="11"/>
        </w:rPr>
      </w:pPr>
      <w:r>
        <w:rPr>
          <w:position w:val="-6"/>
        </w:rPr>
        <w:drawing>
          <wp:inline distT="0" distB="0" distL="0" distR="0">
            <wp:extent cx="186042" cy="118262"/>
            <wp:effectExtent l="0" t="0" r="0" b="0"/>
            <wp:docPr id="53" name="image130.png" descr=""/>
            <wp:cNvGraphicFramePr>
              <a:graphicFrameLocks noChangeAspect="1"/>
            </wp:cNvGraphicFramePr>
            <a:graphic>
              <a:graphicData uri="http://schemas.openxmlformats.org/drawingml/2006/picture">
                <pic:pic>
                  <pic:nvPicPr>
                    <pic:cNvPr id="54" name="image130.png"/>
                    <pic:cNvPicPr/>
                  </pic:nvPicPr>
                  <pic:blipFill>
                    <a:blip r:embed="rId139" cstate="print"/>
                    <a:stretch>
                      <a:fillRect/>
                    </a:stretch>
                  </pic:blipFill>
                  <pic:spPr>
                    <a:xfrm>
                      <a:off x="0" y="0"/>
                      <a:ext cx="186042" cy="118262"/>
                    </a:xfrm>
                    <a:prstGeom prst="rect">
                      <a:avLst/>
                    </a:prstGeom>
                  </pic:spPr>
                </pic:pic>
              </a:graphicData>
            </a:graphic>
          </wp:inline>
        </w:drawing>
      </w:r>
      <w:r>
        <w:rPr>
          <w:position w:val="-6"/>
        </w:rPr>
      </w:r>
      <w:r>
        <w:rPr>
          <w:spacing w:val="21"/>
          <w:sz w:val="20"/>
        </w:rPr>
        <w:t> </w:t>
      </w:r>
      <w:r>
        <w:rPr>
          <w:rFonts w:ascii="Arial"/>
          <w:color w:val="414042"/>
          <w:w w:val="105"/>
          <w:sz w:val="11"/>
        </w:rPr>
        <w:t>BIMODAL- SILICICLASTIC</w:t>
      </w:r>
    </w:p>
    <w:p>
      <w:pPr>
        <w:spacing w:line="268" w:lineRule="auto" w:before="11"/>
        <w:ind w:left="1480" w:right="1088" w:firstLine="0"/>
        <w:jc w:val="left"/>
        <w:rPr>
          <w:rFonts w:ascii="Arial"/>
          <w:sz w:val="11"/>
        </w:rPr>
      </w:pPr>
      <w:r>
        <w:rPr>
          <w:rFonts w:ascii="Arial"/>
          <w:color w:val="414042"/>
          <w:w w:val="105"/>
          <w:sz w:val="11"/>
        </w:rPr>
        <w:t>e.g. Bathurst No. 12, New Brunswick</w:t>
      </w:r>
    </w:p>
    <w:p>
      <w:pPr>
        <w:spacing w:after="0" w:line="268" w:lineRule="auto"/>
        <w:jc w:val="left"/>
        <w:rPr>
          <w:rFonts w:ascii="Arial"/>
          <w:sz w:val="11"/>
        </w:rPr>
        <w:sectPr>
          <w:type w:val="continuous"/>
          <w:pgSz w:w="12240" w:h="15840"/>
          <w:pgMar w:top="920" w:bottom="280" w:left="0" w:right="0"/>
          <w:cols w:num="4" w:equalWidth="0">
            <w:col w:w="5958" w:space="40"/>
            <w:col w:w="536" w:space="453"/>
            <w:col w:w="1305" w:space="218"/>
            <w:col w:w="3730"/>
          </w:cols>
        </w:sectPr>
      </w:pPr>
    </w:p>
    <w:p>
      <w:pPr>
        <w:pStyle w:val="BodyText"/>
        <w:spacing w:line="230" w:lineRule="auto"/>
        <w:ind w:left="1115" w:right="1"/>
        <w:jc w:val="both"/>
      </w:pPr>
      <w:r>
        <w:rPr>
          <w:color w:val="231F20"/>
        </w:rPr>
        <w:t>preted to be an early primitive arc setting possibly linked to an underlying mantle plume (Wyman et al., 1999), or a rare example of a non-arc VMS setting associated with partial lithospheric melting above a mantle plume (cf. Iceland).</w:t>
      </w:r>
    </w:p>
    <w:p>
      <w:pPr>
        <w:pStyle w:val="BodyText"/>
        <w:spacing w:line="230" w:lineRule="auto" w:before="24"/>
        <w:ind w:left="1115" w:firstLine="216"/>
        <w:jc w:val="both"/>
      </w:pPr>
      <w:r>
        <w:rPr>
          <w:color w:val="231F20"/>
        </w:rPr>
        <w:t>In the idealized evolutionary stages of arc terrane forma- tion, extension of the principal arc assemblage is another common period of VMS formation (Fig. 11). This results in</w:t>
      </w:r>
    </w:p>
    <w:p>
      <w:pPr>
        <w:pStyle w:val="BodyText"/>
        <w:spacing w:before="11"/>
        <w:rPr>
          <w:sz w:val="22"/>
        </w:rPr>
      </w:pPr>
    </w:p>
    <w:p>
      <w:pPr>
        <w:spacing w:before="0"/>
        <w:ind w:left="2811" w:right="0" w:firstLine="0"/>
        <w:jc w:val="left"/>
        <w:rPr>
          <w:rFonts w:ascii="Calibri"/>
          <w:sz w:val="17"/>
        </w:rPr>
      </w:pPr>
      <w:r>
        <w:rPr>
          <w:rFonts w:ascii="Calibri"/>
          <w:color w:val="231F20"/>
          <w:w w:val="110"/>
          <w:sz w:val="17"/>
        </w:rPr>
        <w:t>Number of Deposits</w:t>
      </w:r>
    </w:p>
    <w:p>
      <w:pPr>
        <w:tabs>
          <w:tab w:pos="2151" w:val="left" w:leader="none"/>
          <w:tab w:pos="2721" w:val="left" w:leader="none"/>
          <w:tab w:pos="3329" w:val="left" w:leader="none"/>
          <w:tab w:pos="3874" w:val="left" w:leader="none"/>
          <w:tab w:pos="4396" w:val="left" w:leader="none"/>
          <w:tab w:pos="4954" w:val="left" w:leader="none"/>
          <w:tab w:pos="5584" w:val="left" w:leader="none"/>
        </w:tabs>
        <w:spacing w:before="18"/>
        <w:ind w:left="1628" w:right="0" w:firstLine="0"/>
        <w:jc w:val="left"/>
        <w:rPr>
          <w:rFonts w:ascii="Calibri"/>
          <w:sz w:val="15"/>
        </w:rPr>
      </w:pPr>
      <w:r>
        <w:rPr/>
        <w:pict>
          <v:group style="position:absolute;margin-left:82.3685pt;margin-top:11.250705pt;width:214.65pt;height:160.65pt;mso-position-horizontal-relative:page;mso-position-vertical-relative:paragraph;z-index:3808" coordorigin="1647,225" coordsize="4293,3213">
            <v:rect style="position:absolute;left:1660;top:227;width:4278;height:3208" filled="false" stroked="true" strokeweight=".205pt" strokecolor="#231f20">
              <v:stroke dashstyle="solid"/>
            </v:rect>
            <v:rect style="position:absolute;left:1656;top:542;width:368;height:293" filled="true" fillcolor="#bcbec0" stroked="false">
              <v:fill type="solid"/>
            </v:rect>
            <v:rect style="position:absolute;left:1656;top:542;width:368;height:293" filled="false" stroked="true" strokeweight=".205pt" strokecolor="#231f20">
              <v:stroke dashstyle="solid"/>
            </v:rect>
            <v:rect style="position:absolute;left:1659;top:834;width:858;height:282" filled="true" fillcolor="#bcbec0" stroked="false">
              <v:fill type="solid"/>
            </v:rect>
            <v:rect style="position:absolute;left:1659;top:834;width:858;height:282" filled="false" stroked="true" strokeweight=".205pt" strokecolor="#231f20">
              <v:stroke dashstyle="solid"/>
            </v:rect>
            <v:rect style="position:absolute;left:1659;top:1116;width:997;height:293" filled="true" fillcolor="#c7bdb7" stroked="false">
              <v:fill type="solid"/>
            </v:rect>
            <v:rect style="position:absolute;left:1659;top:1116;width:997;height:293" filled="false" stroked="true" strokeweight=".205pt" strokecolor="#231f20">
              <v:stroke dashstyle="solid"/>
            </v:rect>
            <v:rect style="position:absolute;left:1649;top:1408;width:1147;height:282" filled="true" fillcolor="#c7bdb7" stroked="false">
              <v:fill type="solid"/>
            </v:rect>
            <v:rect style="position:absolute;left:1649;top:1408;width:1147;height:282" filled="false" stroked="true" strokeweight=".205pt" strokecolor="#231f20">
              <v:stroke dashstyle="solid"/>
            </v:rect>
            <v:rect style="position:absolute;left:1649;top:1689;width:3108;height:282" filled="true" fillcolor="#bcbec0" stroked="false">
              <v:fill type="solid"/>
            </v:rect>
            <v:rect style="position:absolute;left:1649;top:1689;width:3108;height:282" filled="false" stroked="true" strokeweight=".205pt" strokecolor="#231f20">
              <v:stroke dashstyle="solid"/>
            </v:rect>
            <v:rect style="position:absolute;left:1659;top:1971;width:2005;height:303" filled="true" fillcolor="#c7bdb7" stroked="false">
              <v:fill type="solid"/>
            </v:rect>
            <v:rect style="position:absolute;left:1659;top:1971;width:2005;height:303" filled="false" stroked="true" strokeweight=".205pt" strokecolor="#231f20">
              <v:stroke dashstyle="solid"/>
            </v:rect>
            <v:rect style="position:absolute;left:1670;top:2274;width:2079;height:282" filled="true" fillcolor="#c7bdb7" stroked="false">
              <v:fill type="solid"/>
            </v:rect>
            <v:rect style="position:absolute;left:1670;top:2274;width:2079;height:282" filled="false" stroked="true" strokeweight=".205pt" strokecolor="#231f20">
              <v:stroke dashstyle="solid"/>
            </v:rect>
            <v:rect style="position:absolute;left:1659;top:2556;width:1972;height:293" filled="true" fillcolor="#c7bdb7" stroked="false">
              <v:fill type="solid"/>
            </v:rect>
            <v:rect style="position:absolute;left:1659;top:2556;width:1972;height:293" filled="false" stroked="true" strokeweight=".205pt" strokecolor="#231f20">
              <v:stroke dashstyle="solid"/>
            </v:rect>
            <v:rect style="position:absolute;left:1659;top:2848;width:2090;height:282" filled="true" fillcolor="#c7bdb7" stroked="false">
              <v:fill type="solid"/>
            </v:rect>
            <v:rect style="position:absolute;left:1659;top:2848;width:2090;height:282" filled="false" stroked="true" strokeweight=".205pt" strokecolor="#231f20">
              <v:stroke dashstyle="solid"/>
            </v:rect>
            <v:rect style="position:absolute;left:1659;top:3130;width:858;height:303" filled="true" fillcolor="#bcbec0" stroked="false">
              <v:fill type="solid"/>
            </v:rect>
            <v:shape style="position:absolute;left:1659;top:230;width:4255;height:3202" coordorigin="1659,231" coordsize="4255,3202" path="m1659,3130l2517,3130,2517,3433,1659,3433,1659,3130xm5701,333l5701,231m5109,333l5109,231m4532,333l4532,231m3954,333l3954,231m3377,333l3377,231m2801,333l2801,231m2224,333l2224,231m3310,1171l5757,1171,5757,1347,3310,1347,3310,1171xm3344,877l4849,877,4849,1052,3344,1052,3344,877xm3422,596l4380,596,4380,772,3422,772,3422,596xm4006,2038l5914,2038,5914,2206,4006,2206,4006,2038xm3472,3171l5778,3171,5778,3347,3472,3347,3472,3171xe" filled="false" stroked="true" strokeweight=".205pt" strokecolor="#231f20">
              <v:path arrowok="t"/>
              <v:stroke dashstyle="solid"/>
            </v:shape>
            <v:line style="position:absolute" from="3346,972" to="2592,964" stroked="true" strokeweight=".684pt" strokecolor="#231f20">
              <v:stroke dashstyle="solid"/>
            </v:line>
            <v:shape style="position:absolute;left:2524;top:907;width:135;height:115" type="#_x0000_t75" stroked="false">
              <v:imagedata r:id="rId140" o:title=""/>
            </v:shape>
            <v:line style="position:absolute" from="3302,1256" to="2726,1248" stroked="true" strokeweight=".684pt" strokecolor="#231f20">
              <v:stroke dashstyle="solid"/>
            </v:line>
            <v:shape style="position:absolute;left:2658;top:1191;width:135;height:115" type="#_x0000_t75" stroked="false">
              <v:imagedata r:id="rId141" o:title=""/>
            </v:shape>
            <v:line style="position:absolute" from="3404,665" to="2140,665" stroked="true" strokeweight=".684pt" strokecolor="#231f20">
              <v:stroke dashstyle="solid"/>
            </v:line>
            <v:shape style="position:absolute;left:2073;top:607;width:135;height:115" type="#_x0000_t75" stroked="false">
              <v:imagedata r:id="rId142" o:title=""/>
            </v:shape>
            <v:shape style="position:absolute;left:4779;top:1836;width:300;height:216" type="#_x0000_t75" stroked="false">
              <v:imagedata r:id="rId143" o:title=""/>
            </v:shape>
            <v:line style="position:absolute" from="3455,3280" to="2588,3283" stroked="true" strokeweight=".684pt" strokecolor="#231f20">
              <v:stroke dashstyle="solid"/>
            </v:line>
            <v:shape style="position:absolute;left:2520;top:3225;width:135;height:115" type="#_x0000_t75" stroked="false">
              <v:imagedata r:id="rId144" o:title=""/>
            </v:shape>
            <v:shape style="position:absolute;left:3335;top:619;width:2369;height:715" type="#_x0000_t202" filled="false" stroked="false">
              <v:textbox inset="0,0,0,0">
                <w:txbxContent>
                  <w:p>
                    <w:pPr>
                      <w:spacing w:before="8"/>
                      <w:ind w:left="178" w:right="0" w:firstLine="0"/>
                      <w:jc w:val="left"/>
                      <w:rPr>
                        <w:rFonts w:ascii="Calibri"/>
                        <w:sz w:val="12"/>
                      </w:rPr>
                    </w:pPr>
                    <w:r>
                      <w:rPr>
                        <w:rFonts w:ascii="Calibri"/>
                        <w:color w:val="231F20"/>
                        <w:w w:val="120"/>
                        <w:sz w:val="12"/>
                      </w:rPr>
                      <w:t>Windy Craggy</w:t>
                    </w:r>
                  </w:p>
                  <w:p>
                    <w:pPr>
                      <w:spacing w:before="121"/>
                      <w:ind w:left="64" w:right="0" w:firstLine="0"/>
                      <w:jc w:val="left"/>
                      <w:rPr>
                        <w:rFonts w:ascii="Calibri"/>
                        <w:sz w:val="12"/>
                      </w:rPr>
                    </w:pPr>
                    <w:r>
                      <w:rPr>
                        <w:rFonts w:ascii="Calibri"/>
                        <w:color w:val="231F20"/>
                        <w:w w:val="115"/>
                        <w:sz w:val="12"/>
                      </w:rPr>
                      <w:t>Kidd Creek, Brunswick 12</w:t>
                    </w:r>
                  </w:p>
                  <w:p>
                    <w:pPr>
                      <w:spacing w:line="240" w:lineRule="auto" w:before="10"/>
                      <w:rPr>
                        <w:sz w:val="12"/>
                      </w:rPr>
                    </w:pPr>
                  </w:p>
                  <w:p>
                    <w:pPr>
                      <w:spacing w:line="144" w:lineRule="exact" w:before="0"/>
                      <w:ind w:left="0" w:right="0" w:firstLine="0"/>
                      <w:jc w:val="left"/>
                      <w:rPr>
                        <w:rFonts w:ascii="Calibri"/>
                        <w:sz w:val="12"/>
                      </w:rPr>
                    </w:pPr>
                    <w:r>
                      <w:rPr>
                        <w:rFonts w:ascii="Calibri"/>
                        <w:color w:val="231F20"/>
                        <w:w w:val="115"/>
                        <w:sz w:val="12"/>
                      </w:rPr>
                      <w:t>Flin Flon, Caribou, LaRonde, Horne, Geco</w:t>
                    </w:r>
                  </w:p>
                </w:txbxContent>
              </v:textbox>
              <w10:wrap type="none"/>
            </v:shape>
            <v:shape style="position:absolute;left:4065;top:2031;width:1821;height:153" type="#_x0000_t202" filled="false" stroked="false">
              <v:textbox inset="0,0,0,0">
                <w:txbxContent>
                  <w:p>
                    <w:pPr>
                      <w:spacing w:line="144" w:lineRule="exact" w:before="8"/>
                      <w:ind w:left="0" w:right="0" w:firstLine="0"/>
                      <w:jc w:val="left"/>
                      <w:rPr>
                        <w:rFonts w:ascii="Calibri"/>
                        <w:sz w:val="12"/>
                      </w:rPr>
                    </w:pPr>
                    <w:r>
                      <w:rPr>
                        <w:rFonts w:ascii="Calibri"/>
                        <w:color w:val="231F20"/>
                        <w:w w:val="120"/>
                        <w:sz w:val="12"/>
                      </w:rPr>
                      <w:t>Average</w:t>
                    </w:r>
                    <w:r>
                      <w:rPr>
                        <w:rFonts w:ascii="Calibri"/>
                        <w:color w:val="231F20"/>
                        <w:spacing w:val="-10"/>
                        <w:w w:val="120"/>
                        <w:sz w:val="12"/>
                      </w:rPr>
                      <w:t> </w:t>
                    </w:r>
                    <w:r>
                      <w:rPr>
                        <w:rFonts w:ascii="Calibri"/>
                        <w:color w:val="231F20"/>
                        <w:w w:val="120"/>
                        <w:sz w:val="12"/>
                      </w:rPr>
                      <w:t>ancient</w:t>
                    </w:r>
                    <w:r>
                      <w:rPr>
                        <w:rFonts w:ascii="Calibri"/>
                        <w:color w:val="231F20"/>
                        <w:spacing w:val="-10"/>
                        <w:w w:val="120"/>
                        <w:sz w:val="12"/>
                      </w:rPr>
                      <w:t> </w:t>
                    </w:r>
                    <w:r>
                      <w:rPr>
                        <w:rFonts w:ascii="Calibri"/>
                        <w:color w:val="231F20"/>
                        <w:w w:val="120"/>
                        <w:sz w:val="12"/>
                      </w:rPr>
                      <w:t>sulfide</w:t>
                    </w:r>
                    <w:r>
                      <w:rPr>
                        <w:rFonts w:ascii="Calibri"/>
                        <w:color w:val="231F20"/>
                        <w:spacing w:val="-10"/>
                        <w:w w:val="120"/>
                        <w:sz w:val="12"/>
                      </w:rPr>
                      <w:t> </w:t>
                    </w:r>
                    <w:r>
                      <w:rPr>
                        <w:rFonts w:ascii="Calibri"/>
                        <w:color w:val="231F20"/>
                        <w:w w:val="120"/>
                        <w:sz w:val="12"/>
                      </w:rPr>
                      <w:t>deposit</w:t>
                    </w:r>
                  </w:p>
                </w:txbxContent>
              </v:textbox>
              <w10:wrap type="none"/>
            </v:shape>
            <v:shape style="position:absolute;left:3512;top:3157;width:2237;height:153" type="#_x0000_t202" filled="false" stroked="false">
              <v:textbox inset="0,0,0,0">
                <w:txbxContent>
                  <w:p>
                    <w:pPr>
                      <w:spacing w:line="144" w:lineRule="exact" w:before="8"/>
                      <w:ind w:left="0" w:right="0" w:firstLine="0"/>
                      <w:jc w:val="left"/>
                      <w:rPr>
                        <w:rFonts w:ascii="Calibri"/>
                        <w:sz w:val="12"/>
                      </w:rPr>
                    </w:pPr>
                    <w:r>
                      <w:rPr>
                        <w:rFonts w:ascii="Calibri"/>
                        <w:color w:val="231F20"/>
                        <w:w w:val="115"/>
                        <w:sz w:val="12"/>
                      </w:rPr>
                      <w:t>Typical modern seafloor sulfide deposit</w:t>
                    </w:r>
                  </w:p>
                </w:txbxContent>
              </v:textbox>
              <w10:wrap type="none"/>
            </v:shape>
            <w10:wrap type="none"/>
          </v:group>
        </w:pict>
      </w:r>
      <w:r>
        <w:rPr>
          <w:rFonts w:ascii="Calibri"/>
          <w:color w:val="231F20"/>
          <w:w w:val="115"/>
          <w:sz w:val="15"/>
        </w:rPr>
        <w:t>0</w:t>
        <w:tab/>
        <w:t>20</w:t>
        <w:tab/>
        <w:t>40</w:t>
        <w:tab/>
        <w:t>60</w:t>
        <w:tab/>
        <w:t>80</w:t>
        <w:tab/>
        <w:t>100</w:t>
        <w:tab/>
        <w:t>120</w:t>
        <w:tab/>
        <w:t>140</w:t>
      </w:r>
    </w:p>
    <w:p>
      <w:pPr>
        <w:spacing w:before="96"/>
        <w:ind w:left="1249" w:right="4361" w:firstLine="0"/>
        <w:jc w:val="center"/>
        <w:rPr>
          <w:rFonts w:ascii="Calibri"/>
          <w:sz w:val="15"/>
        </w:rPr>
      </w:pPr>
      <w:r>
        <w:rPr>
          <w:rFonts w:ascii="Calibri"/>
          <w:color w:val="231F20"/>
          <w:w w:val="115"/>
          <w:sz w:val="15"/>
        </w:rPr>
        <w:t>500</w:t>
      </w:r>
    </w:p>
    <w:p>
      <w:pPr>
        <w:spacing w:before="108"/>
        <w:ind w:left="1249" w:right="4361" w:firstLine="0"/>
        <w:jc w:val="center"/>
        <w:rPr>
          <w:rFonts w:ascii="Calibri"/>
          <w:sz w:val="15"/>
        </w:rPr>
      </w:pPr>
      <w:r>
        <w:rPr>
          <w:rFonts w:ascii="Calibri"/>
          <w:color w:val="231F20"/>
          <w:w w:val="115"/>
          <w:sz w:val="15"/>
        </w:rPr>
        <w:t>200</w:t>
      </w:r>
    </w:p>
    <w:p>
      <w:pPr>
        <w:spacing w:before="108"/>
        <w:ind w:left="1249" w:right="4361" w:firstLine="0"/>
        <w:jc w:val="center"/>
        <w:rPr>
          <w:rFonts w:ascii="Calibri"/>
          <w:sz w:val="15"/>
        </w:rPr>
      </w:pPr>
      <w:r>
        <w:rPr/>
        <w:pict>
          <v:shape style="position:absolute;margin-left:52.080364pt;margin-top:4.136694pt;width:12.3pt;height:104.85pt;mso-position-horizontal-relative:page;mso-position-vertical-relative:paragraph;z-index:4816" type="#_x0000_t202" filled="false" stroked="false">
            <v:textbox inset="0,0,0,0" style="layout-flow:vertical;mso-layout-flow-alt:bottom-to-top">
              <w:txbxContent>
                <w:p>
                  <w:pPr>
                    <w:spacing w:before="23"/>
                    <w:ind w:left="20" w:right="0" w:firstLine="0"/>
                    <w:jc w:val="left"/>
                    <w:rPr>
                      <w:rFonts w:ascii="Calibri"/>
                      <w:sz w:val="17"/>
                    </w:rPr>
                  </w:pPr>
                  <w:r>
                    <w:rPr>
                      <w:rFonts w:ascii="Calibri"/>
                      <w:color w:val="231F20"/>
                      <w:sz w:val="17"/>
                    </w:rPr>
                    <w:t>Size in Million Metric Tonnes</w:t>
                  </w:r>
                </w:p>
              </w:txbxContent>
            </v:textbox>
            <w10:wrap type="none"/>
          </v:shape>
        </w:pict>
      </w:r>
      <w:r>
        <w:rPr>
          <w:rFonts w:ascii="Calibri"/>
          <w:color w:val="231F20"/>
          <w:w w:val="115"/>
          <w:sz w:val="15"/>
        </w:rPr>
        <w:t>100</w:t>
      </w:r>
    </w:p>
    <w:p>
      <w:pPr>
        <w:spacing w:before="107"/>
        <w:ind w:left="1271" w:right="4251" w:firstLine="0"/>
        <w:jc w:val="center"/>
        <w:rPr>
          <w:rFonts w:ascii="Calibri"/>
          <w:sz w:val="15"/>
        </w:rPr>
      </w:pPr>
      <w:r>
        <w:rPr>
          <w:rFonts w:ascii="Calibri"/>
          <w:color w:val="231F20"/>
          <w:w w:val="115"/>
          <w:sz w:val="15"/>
        </w:rPr>
        <w:t>50</w:t>
      </w:r>
    </w:p>
    <w:p>
      <w:pPr>
        <w:spacing w:before="108"/>
        <w:ind w:left="1271" w:right="4251" w:firstLine="0"/>
        <w:jc w:val="center"/>
        <w:rPr>
          <w:rFonts w:ascii="Calibri"/>
          <w:sz w:val="15"/>
        </w:rPr>
      </w:pPr>
      <w:r>
        <w:rPr>
          <w:rFonts w:ascii="Calibri"/>
          <w:color w:val="231F20"/>
          <w:w w:val="115"/>
          <w:sz w:val="15"/>
        </w:rPr>
        <w:t>20</w:t>
      </w:r>
    </w:p>
    <w:p>
      <w:pPr>
        <w:spacing w:before="100"/>
        <w:ind w:left="1271" w:right="4251" w:firstLine="0"/>
        <w:jc w:val="center"/>
        <w:rPr>
          <w:rFonts w:ascii="Calibri"/>
          <w:sz w:val="15"/>
        </w:rPr>
      </w:pPr>
      <w:r>
        <w:rPr>
          <w:rFonts w:ascii="Calibri"/>
          <w:color w:val="231F20"/>
          <w:w w:val="115"/>
          <w:sz w:val="15"/>
        </w:rPr>
        <w:t>10</w:t>
      </w:r>
    </w:p>
    <w:p>
      <w:pPr>
        <w:spacing w:before="121"/>
        <w:ind w:left="1498" w:right="0" w:firstLine="0"/>
        <w:jc w:val="left"/>
        <w:rPr>
          <w:rFonts w:ascii="Calibri"/>
          <w:sz w:val="15"/>
        </w:rPr>
      </w:pPr>
      <w:r>
        <w:rPr>
          <w:rFonts w:ascii="Calibri"/>
          <w:color w:val="231F20"/>
          <w:w w:val="112"/>
          <w:sz w:val="15"/>
        </w:rPr>
        <w:t>5</w:t>
      </w:r>
    </w:p>
    <w:p>
      <w:pPr>
        <w:spacing w:before="109"/>
        <w:ind w:left="1499" w:right="0" w:firstLine="0"/>
        <w:jc w:val="left"/>
        <w:rPr>
          <w:rFonts w:ascii="Calibri"/>
          <w:sz w:val="15"/>
        </w:rPr>
      </w:pPr>
      <w:r>
        <w:rPr>
          <w:rFonts w:ascii="Calibri"/>
          <w:color w:val="231F20"/>
          <w:w w:val="112"/>
          <w:sz w:val="15"/>
        </w:rPr>
        <w:t>2</w:t>
      </w:r>
    </w:p>
    <w:p>
      <w:pPr>
        <w:spacing w:before="101"/>
        <w:ind w:left="1320" w:right="0" w:firstLine="0"/>
        <w:jc w:val="left"/>
        <w:rPr>
          <w:rFonts w:ascii="Calibri"/>
          <w:sz w:val="15"/>
        </w:rPr>
      </w:pPr>
      <w:r>
        <w:rPr>
          <w:rFonts w:ascii="Calibri"/>
          <w:color w:val="231F20"/>
          <w:w w:val="115"/>
          <w:sz w:val="15"/>
        </w:rPr>
        <w:t>1.0</w:t>
      </w:r>
    </w:p>
    <w:p>
      <w:pPr>
        <w:spacing w:before="93"/>
        <w:ind w:left="1320" w:right="0" w:firstLine="0"/>
        <w:jc w:val="left"/>
        <w:rPr>
          <w:rFonts w:ascii="Calibri"/>
          <w:sz w:val="15"/>
        </w:rPr>
      </w:pPr>
      <w:r>
        <w:rPr>
          <w:rFonts w:ascii="Calibri"/>
          <w:color w:val="231F20"/>
          <w:w w:val="115"/>
          <w:sz w:val="15"/>
        </w:rPr>
        <w:t>0.5</w:t>
      </w:r>
    </w:p>
    <w:p>
      <w:pPr>
        <w:spacing w:before="123"/>
        <w:ind w:left="1321" w:right="0" w:firstLine="0"/>
        <w:jc w:val="left"/>
        <w:rPr>
          <w:rFonts w:ascii="Calibri"/>
          <w:sz w:val="15"/>
        </w:rPr>
      </w:pPr>
      <w:r>
        <w:rPr>
          <w:rFonts w:ascii="Calibri"/>
          <w:color w:val="231F20"/>
          <w:w w:val="115"/>
          <w:sz w:val="15"/>
        </w:rPr>
        <w:t>0.2</w:t>
      </w:r>
    </w:p>
    <w:p>
      <w:pPr>
        <w:spacing w:line="230" w:lineRule="auto" w:before="136"/>
        <w:ind w:left="1114" w:right="18" w:firstLine="0"/>
        <w:jc w:val="both"/>
        <w:rPr>
          <w:sz w:val="16"/>
        </w:rPr>
      </w:pPr>
      <w:r>
        <w:rPr>
          <w:b/>
          <w:color w:val="231F20"/>
          <w:sz w:val="16"/>
        </w:rPr>
        <w:t>F</w:t>
      </w:r>
      <w:r>
        <w:rPr>
          <w:b/>
          <w:color w:val="231F20"/>
          <w:sz w:val="16"/>
          <w:vertAlign w:val="subscript"/>
        </w:rPr>
        <w:t>IGURE</w:t>
      </w:r>
      <w:r>
        <w:rPr>
          <w:b/>
          <w:color w:val="231F20"/>
          <w:sz w:val="16"/>
          <w:vertAlign w:val="baseline"/>
        </w:rPr>
        <w:t> 8. </w:t>
      </w:r>
      <w:r>
        <w:rPr>
          <w:color w:val="231F20"/>
          <w:sz w:val="16"/>
          <w:vertAlign w:val="baseline"/>
        </w:rPr>
        <w:t>Global (proven, possible, and probable; non 43-101 compliant) size distribution for VMS deposits, with deposits over 50 Mt considered “very large” (Table 1), those over 100 Mt considered “giant”, and those over 150 Mt defined as “supergiant”. Atlantis II Deep, Red Sea, is consid- ered the largest modern example of a seafloor massive sulphide deposit. Best known examples of Canadian very large, giant, and supergiant deposits are shown. Modified from Hannington et al. (1995).</w:t>
      </w:r>
    </w:p>
    <w:p>
      <w:pPr>
        <w:spacing w:line="146" w:lineRule="exact" w:before="0"/>
        <w:ind w:left="337"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9. </w:t>
      </w:r>
      <w:r>
        <w:rPr>
          <w:color w:val="231F20"/>
          <w:sz w:val="16"/>
          <w:vertAlign w:val="baseline"/>
        </w:rPr>
        <w:t>Statistics for VMS deposits grouped by lithologic class (Barrie</w:t>
      </w:r>
    </w:p>
    <w:p>
      <w:pPr>
        <w:spacing w:line="180" w:lineRule="exact" w:before="0"/>
        <w:ind w:left="337" w:right="0" w:firstLine="0"/>
        <w:jc w:val="left"/>
        <w:rPr>
          <w:sz w:val="16"/>
        </w:rPr>
      </w:pPr>
      <w:r>
        <w:rPr/>
        <w:pict>
          <v:rect style="position:absolute;margin-left:315.753998pt;margin-top:-8.077468pt;width:241.501pt;height:27.36pt;mso-position-horizontal-relative:page;mso-position-vertical-relative:paragraph;z-index:-178552" filled="true" fillcolor="#ffffff" stroked="false">
            <v:fill type="solid"/>
            <w10:wrap type="none"/>
          </v:rect>
        </w:pict>
      </w:r>
      <w:r>
        <w:rPr>
          <w:color w:val="231F20"/>
          <w:sz w:val="16"/>
        </w:rPr>
        <w:t>and Hannington, 1999): </w:t>
      </w:r>
      <w:r>
        <w:rPr>
          <w:b/>
          <w:color w:val="231F20"/>
          <w:sz w:val="16"/>
        </w:rPr>
        <w:t>(A) </w:t>
      </w:r>
      <w:r>
        <w:rPr>
          <w:color w:val="231F20"/>
          <w:sz w:val="16"/>
        </w:rPr>
        <w:t>worldwide deposits; </w:t>
      </w:r>
      <w:r>
        <w:rPr>
          <w:b/>
          <w:color w:val="231F20"/>
          <w:sz w:val="16"/>
        </w:rPr>
        <w:t>(B) </w:t>
      </w:r>
      <w:r>
        <w:rPr>
          <w:color w:val="231F20"/>
          <w:sz w:val="16"/>
        </w:rPr>
        <w:t>Canadian deposits.</w:t>
      </w:r>
    </w:p>
    <w:p>
      <w:pPr>
        <w:pStyle w:val="BodyText"/>
        <w:spacing w:before="1"/>
        <w:rPr>
          <w:sz w:val="16"/>
        </w:rPr>
      </w:pPr>
    </w:p>
    <w:p>
      <w:pPr>
        <w:pStyle w:val="BodyText"/>
        <w:spacing w:line="230" w:lineRule="auto"/>
        <w:ind w:left="317" w:right="1081"/>
        <w:jc w:val="both"/>
      </w:pPr>
      <w:r>
        <w:rPr>
          <w:color w:val="231F20"/>
        </w:rPr>
        <w:t>the formation of calderas in which bimodal mafic extrusive successions predominate. This is perhaps the most common arc environment for VMS formation in oceanic arc settings. Bimodal mafic-dominated VMS-hosting calderas include the Archean Noranda and the Paleoproterozoic Flin Flon mining camps (Gibson and Watkinson, 1990; Syme and Bailes, 1993). Rifting of continental margin arcs, in</w:t>
      </w:r>
      <w:r>
        <w:rPr>
          <w:color w:val="231F20"/>
          <w:spacing w:val="-28"/>
        </w:rPr>
        <w:t> </w:t>
      </w:r>
      <w:r>
        <w:rPr>
          <w:color w:val="231F20"/>
        </w:rPr>
        <w:t>contrast, results in the development of more volcaniclastic-rich bimodal felsic extensional settings. Examples include the Sturgeon Lake camp in the Archean Wabigoon terrane of Ontario (Morton et al., 1990; Whalen et al., 2004) and the Devonian Buttle Lake VMS camp in the Wrangellia</w:t>
      </w:r>
      <w:r>
        <w:rPr>
          <w:color w:val="231F20"/>
          <w:spacing w:val="-22"/>
        </w:rPr>
        <w:t> </w:t>
      </w:r>
      <w:r>
        <w:rPr>
          <w:color w:val="231F20"/>
        </w:rPr>
        <w:t>Terrane of British Columbia (Barrett and Sherlock, 1996a). Outside Canada, the Paleoproterozoic Skellefte mining district in Sweden (Allen et al., 1996a) and the Cambrian Mount Read VMS</w:t>
      </w:r>
      <w:r>
        <w:rPr>
          <w:color w:val="231F20"/>
          <w:spacing w:val="-11"/>
        </w:rPr>
        <w:t> </w:t>
      </w:r>
      <w:r>
        <w:rPr>
          <w:color w:val="231F20"/>
        </w:rPr>
        <w:t>district</w:t>
      </w:r>
      <w:r>
        <w:rPr>
          <w:color w:val="231F20"/>
          <w:spacing w:val="-11"/>
        </w:rPr>
        <w:t> </w:t>
      </w:r>
      <w:r>
        <w:rPr>
          <w:color w:val="231F20"/>
        </w:rPr>
        <w:t>in</w:t>
      </w:r>
      <w:r>
        <w:rPr>
          <w:color w:val="231F20"/>
          <w:spacing w:val="-14"/>
        </w:rPr>
        <w:t> </w:t>
      </w:r>
      <w:r>
        <w:rPr>
          <w:color w:val="231F20"/>
        </w:rPr>
        <w:t>Tasmania</w:t>
      </w:r>
      <w:r>
        <w:rPr>
          <w:color w:val="231F20"/>
          <w:spacing w:val="-11"/>
        </w:rPr>
        <w:t> </w:t>
      </w:r>
      <w:r>
        <w:rPr>
          <w:color w:val="231F20"/>
        </w:rPr>
        <w:t>(Corbett,</w:t>
      </w:r>
      <w:r>
        <w:rPr>
          <w:color w:val="231F20"/>
          <w:spacing w:val="-11"/>
        </w:rPr>
        <w:t> </w:t>
      </w:r>
      <w:r>
        <w:rPr>
          <w:color w:val="231F20"/>
        </w:rPr>
        <w:t>1992)</w:t>
      </w:r>
      <w:r>
        <w:rPr>
          <w:color w:val="231F20"/>
          <w:spacing w:val="-11"/>
        </w:rPr>
        <w:t> </w:t>
      </w:r>
      <w:r>
        <w:rPr>
          <w:color w:val="231F20"/>
        </w:rPr>
        <w:t>are</w:t>
      </w:r>
      <w:r>
        <w:rPr>
          <w:color w:val="231F20"/>
          <w:spacing w:val="-11"/>
        </w:rPr>
        <w:t> </w:t>
      </w:r>
      <w:r>
        <w:rPr>
          <w:color w:val="231F20"/>
        </w:rPr>
        <w:t>other</w:t>
      </w:r>
      <w:r>
        <w:rPr>
          <w:color w:val="231F20"/>
          <w:spacing w:val="-11"/>
        </w:rPr>
        <w:t> </w:t>
      </w:r>
      <w:r>
        <w:rPr>
          <w:color w:val="231F20"/>
        </w:rPr>
        <w:t>examples of rifted continental margin arc settings. Continued exten- sion in both oceanic and continental margin arc settings results in the development of back-arc basins. In oceanic arc settings, mature back-arc ophiolites also can host VMS deposits. Canadian examples include the Paleoproterozoic Birch-Flexar-Coronation camp on the Saskatchewan side of the Flin Flon mining district (Wyman et al., 1999) and Betts Cove, Newfoundland (Swinden et al., 1988; Bédard et al., 1998). </w:t>
      </w:r>
      <w:r>
        <w:rPr>
          <w:color w:val="231F20"/>
          <w:spacing w:val="-4"/>
        </w:rPr>
        <w:t>Well </w:t>
      </w:r>
      <w:r>
        <w:rPr>
          <w:color w:val="231F20"/>
        </w:rPr>
        <w:t>known examples outside Canada include the Tethyan</w:t>
      </w:r>
      <w:r>
        <w:rPr>
          <w:color w:val="231F20"/>
          <w:spacing w:val="-12"/>
        </w:rPr>
        <w:t> </w:t>
      </w:r>
      <w:r>
        <w:rPr>
          <w:color w:val="231F20"/>
        </w:rPr>
        <w:t>ophiolites</w:t>
      </w:r>
      <w:r>
        <w:rPr>
          <w:color w:val="231F20"/>
          <w:spacing w:val="-12"/>
        </w:rPr>
        <w:t> </w:t>
      </w:r>
      <w:r>
        <w:rPr>
          <w:color w:val="231F20"/>
        </w:rPr>
        <w:t>in</w:t>
      </w:r>
      <w:r>
        <w:rPr>
          <w:color w:val="231F20"/>
          <w:spacing w:val="-12"/>
        </w:rPr>
        <w:t> </w:t>
      </w:r>
      <w:r>
        <w:rPr>
          <w:color w:val="231F20"/>
        </w:rPr>
        <w:t>Cyprus</w:t>
      </w:r>
      <w:r>
        <w:rPr>
          <w:color w:val="231F20"/>
          <w:spacing w:val="-12"/>
        </w:rPr>
        <w:t> </w:t>
      </w:r>
      <w:r>
        <w:rPr>
          <w:color w:val="231F20"/>
        </w:rPr>
        <w:t>(Troodos),</w:t>
      </w:r>
      <w:r>
        <w:rPr>
          <w:color w:val="231F20"/>
          <w:spacing w:val="-12"/>
        </w:rPr>
        <w:t> </w:t>
      </w:r>
      <w:r>
        <w:rPr>
          <w:color w:val="231F20"/>
        </w:rPr>
        <w:t>Oman</w:t>
      </w:r>
      <w:r>
        <w:rPr>
          <w:color w:val="231F20"/>
          <w:spacing w:val="-12"/>
        </w:rPr>
        <w:t> </w:t>
      </w:r>
      <w:r>
        <w:rPr>
          <w:color w:val="231F20"/>
        </w:rPr>
        <w:t>(Semail),</w:t>
      </w:r>
      <w:r>
        <w:rPr>
          <w:color w:val="231F20"/>
          <w:spacing w:val="-12"/>
        </w:rPr>
        <w:t> </w:t>
      </w:r>
      <w:r>
        <w:rPr>
          <w:color w:val="231F20"/>
        </w:rPr>
        <w:t>and Turkey (Ergani) (Galley and Koski, 1999, and references therein).</w:t>
      </w:r>
    </w:p>
    <w:p>
      <w:pPr>
        <w:spacing w:after="0" w:line="230" w:lineRule="auto"/>
        <w:jc w:val="both"/>
        <w:sectPr>
          <w:type w:val="continuous"/>
          <w:pgSz w:w="12240" w:h="15840"/>
          <w:pgMar w:top="920" w:bottom="280" w:left="0" w:right="0"/>
          <w:cols w:num="2" w:equalWidth="0">
            <w:col w:w="5958" w:space="40"/>
            <w:col w:w="6242"/>
          </w:cols>
        </w:sectPr>
      </w:pPr>
    </w:p>
    <w:p>
      <w:pPr>
        <w:spacing w:before="190"/>
        <w:ind w:left="1841" w:right="0" w:firstLine="0"/>
        <w:jc w:val="left"/>
        <w:rPr>
          <w:sz w:val="18"/>
        </w:rPr>
      </w:pPr>
      <w:r>
        <w:rPr/>
        <w:pict>
          <v:line style="position:absolute;mso-position-horizontal-relative:page;mso-position-vertical-relative:paragraph;z-index:5224;mso-wrap-distance-left:0;mso-wrap-distance-right:0" from="111.448997pt,23.338158pt" to="500.947997pt,23.338158pt" stroked="true" strokeweight=".42pt" strokecolor="#231f20">
            <v:stroke dashstyle="solid"/>
            <w10:wrap type="topAndBottom"/>
          </v:line>
        </w:pict>
      </w:r>
      <w:r>
        <w:rPr>
          <w:b/>
          <w:color w:val="231F20"/>
          <w:sz w:val="18"/>
        </w:rPr>
        <w:t>T</w:t>
      </w:r>
      <w:r>
        <w:rPr>
          <w:b/>
          <w:color w:val="231F20"/>
          <w:sz w:val="18"/>
          <w:vertAlign w:val="subscript"/>
        </w:rPr>
        <w:t>ABLE</w:t>
      </w:r>
      <w:r>
        <w:rPr>
          <w:b/>
          <w:color w:val="231F20"/>
          <w:sz w:val="18"/>
          <w:vertAlign w:val="baseline"/>
        </w:rPr>
        <w:t> 3. </w:t>
      </w:r>
      <w:r>
        <w:rPr>
          <w:color w:val="231F20"/>
          <w:sz w:val="18"/>
          <w:vertAlign w:val="baseline"/>
        </w:rPr>
        <w:t>Examples of large-tonnage volcanogenic massive sulphide deposits of the World (Canadian deposits in red).</w:t>
      </w:r>
    </w:p>
    <w:tbl>
      <w:tblPr>
        <w:tblW w:w="0" w:type="auto"/>
        <w:jc w:val="left"/>
        <w:tblInd w:w="2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860"/>
        <w:gridCol w:w="1652"/>
        <w:gridCol w:w="910"/>
        <w:gridCol w:w="364"/>
        <w:gridCol w:w="426"/>
        <w:gridCol w:w="357"/>
        <w:gridCol w:w="398"/>
        <w:gridCol w:w="464"/>
        <w:gridCol w:w="826"/>
      </w:tblGrid>
      <w:tr>
        <w:trPr>
          <w:trHeight w:val="321" w:hRule="atLeast"/>
        </w:trPr>
        <w:tc>
          <w:tcPr>
            <w:tcW w:w="1537" w:type="dxa"/>
            <w:tcBorders>
              <w:top w:val="single" w:sz="4" w:space="0" w:color="231F20"/>
              <w:bottom w:val="single" w:sz="4" w:space="0" w:color="231F20"/>
            </w:tcBorders>
          </w:tcPr>
          <w:p>
            <w:pPr>
              <w:pStyle w:val="TableParagraph"/>
              <w:spacing w:line="240" w:lineRule="auto" w:before="15"/>
              <w:ind w:left="22"/>
              <w:rPr>
                <w:b/>
                <w:sz w:val="11"/>
              </w:rPr>
            </w:pPr>
            <w:r>
              <w:rPr>
                <w:b/>
                <w:color w:val="231F20"/>
                <w:w w:val="105"/>
                <w:sz w:val="11"/>
              </w:rPr>
              <w:t>NAME</w:t>
            </w:r>
          </w:p>
        </w:tc>
        <w:tc>
          <w:tcPr>
            <w:tcW w:w="860" w:type="dxa"/>
            <w:tcBorders>
              <w:top w:val="single" w:sz="4" w:space="0" w:color="231F20"/>
              <w:bottom w:val="single" w:sz="4" w:space="0" w:color="231F20"/>
            </w:tcBorders>
          </w:tcPr>
          <w:p>
            <w:pPr>
              <w:pStyle w:val="TableParagraph"/>
              <w:spacing w:line="240" w:lineRule="auto" w:before="15"/>
              <w:ind w:left="114"/>
              <w:rPr>
                <w:b/>
                <w:sz w:val="11"/>
              </w:rPr>
            </w:pPr>
            <w:r>
              <w:rPr>
                <w:b/>
                <w:color w:val="231F20"/>
                <w:w w:val="105"/>
                <w:sz w:val="11"/>
              </w:rPr>
              <w:t>COUNTRY</w:t>
            </w:r>
          </w:p>
        </w:tc>
        <w:tc>
          <w:tcPr>
            <w:tcW w:w="1652" w:type="dxa"/>
            <w:tcBorders>
              <w:top w:val="single" w:sz="4" w:space="0" w:color="231F20"/>
              <w:bottom w:val="single" w:sz="4" w:space="0" w:color="231F20"/>
            </w:tcBorders>
          </w:tcPr>
          <w:p>
            <w:pPr>
              <w:pStyle w:val="TableParagraph"/>
              <w:spacing w:line="240" w:lineRule="auto" w:before="15"/>
              <w:ind w:left="105"/>
              <w:rPr>
                <w:b/>
                <w:sz w:val="11"/>
              </w:rPr>
            </w:pPr>
            <w:r>
              <w:rPr>
                <w:b/>
                <w:color w:val="231F20"/>
                <w:w w:val="105"/>
                <w:sz w:val="11"/>
              </w:rPr>
              <w:t>Orogen</w:t>
            </w:r>
          </w:p>
        </w:tc>
        <w:tc>
          <w:tcPr>
            <w:tcW w:w="910" w:type="dxa"/>
            <w:tcBorders>
              <w:top w:val="single" w:sz="4" w:space="0" w:color="231F20"/>
              <w:bottom w:val="single" w:sz="4" w:space="0" w:color="231F20"/>
            </w:tcBorders>
          </w:tcPr>
          <w:p>
            <w:pPr>
              <w:pStyle w:val="TableParagraph"/>
              <w:spacing w:line="150" w:lineRule="atLeast" w:before="3"/>
              <w:ind w:left="281" w:right="76" w:hanging="173"/>
              <w:rPr>
                <w:b/>
                <w:sz w:val="11"/>
              </w:rPr>
            </w:pPr>
            <w:r>
              <w:rPr>
                <w:b/>
                <w:color w:val="231F20"/>
                <w:w w:val="105"/>
                <w:sz w:val="11"/>
              </w:rPr>
              <w:t>Mtonnes Ore (Geol.)</w:t>
            </w:r>
          </w:p>
        </w:tc>
        <w:tc>
          <w:tcPr>
            <w:tcW w:w="364" w:type="dxa"/>
            <w:tcBorders>
              <w:top w:val="single" w:sz="4" w:space="0" w:color="231F20"/>
              <w:bottom w:val="single" w:sz="4" w:space="0" w:color="231F20"/>
            </w:tcBorders>
          </w:tcPr>
          <w:p>
            <w:pPr>
              <w:pStyle w:val="TableParagraph"/>
              <w:spacing w:line="240" w:lineRule="auto" w:before="15"/>
              <w:ind w:left="81"/>
              <w:rPr>
                <w:b/>
                <w:sz w:val="11"/>
              </w:rPr>
            </w:pPr>
            <w:r>
              <w:rPr>
                <w:b/>
                <w:color w:val="231F20"/>
                <w:w w:val="105"/>
                <w:sz w:val="11"/>
              </w:rPr>
              <w:t>CU</w:t>
            </w:r>
          </w:p>
          <w:p>
            <w:pPr>
              <w:pStyle w:val="TableParagraph"/>
              <w:spacing w:line="240" w:lineRule="auto" w:before="24"/>
              <w:ind w:left="115"/>
              <w:rPr>
                <w:b/>
                <w:sz w:val="11"/>
              </w:rPr>
            </w:pPr>
            <w:r>
              <w:rPr>
                <w:b/>
                <w:color w:val="231F20"/>
                <w:w w:val="106"/>
                <w:sz w:val="11"/>
              </w:rPr>
              <w:t>%</w:t>
            </w:r>
          </w:p>
        </w:tc>
        <w:tc>
          <w:tcPr>
            <w:tcW w:w="426" w:type="dxa"/>
            <w:tcBorders>
              <w:top w:val="single" w:sz="4" w:space="0" w:color="231F20"/>
              <w:bottom w:val="single" w:sz="4" w:space="0" w:color="231F20"/>
            </w:tcBorders>
          </w:tcPr>
          <w:p>
            <w:pPr>
              <w:pStyle w:val="TableParagraph"/>
              <w:spacing w:line="240" w:lineRule="auto" w:before="15"/>
              <w:ind w:left="109"/>
              <w:rPr>
                <w:b/>
                <w:sz w:val="11"/>
              </w:rPr>
            </w:pPr>
            <w:r>
              <w:rPr>
                <w:b/>
                <w:color w:val="231F20"/>
                <w:w w:val="105"/>
                <w:sz w:val="11"/>
              </w:rPr>
              <w:t>PB</w:t>
            </w:r>
          </w:p>
          <w:p>
            <w:pPr>
              <w:pStyle w:val="TableParagraph"/>
              <w:spacing w:line="240" w:lineRule="auto" w:before="24"/>
              <w:ind w:left="140"/>
              <w:rPr>
                <w:b/>
                <w:sz w:val="11"/>
              </w:rPr>
            </w:pPr>
            <w:r>
              <w:rPr>
                <w:b/>
                <w:color w:val="231F20"/>
                <w:w w:val="106"/>
                <w:sz w:val="11"/>
              </w:rPr>
              <w:t>%</w:t>
            </w:r>
          </w:p>
        </w:tc>
        <w:tc>
          <w:tcPr>
            <w:tcW w:w="357" w:type="dxa"/>
            <w:tcBorders>
              <w:top w:val="single" w:sz="4" w:space="0" w:color="231F20"/>
              <w:bottom w:val="single" w:sz="4" w:space="0" w:color="231F20"/>
            </w:tcBorders>
          </w:tcPr>
          <w:p>
            <w:pPr>
              <w:pStyle w:val="TableParagraph"/>
              <w:spacing w:line="240" w:lineRule="auto" w:before="15"/>
              <w:ind w:left="56"/>
              <w:rPr>
                <w:b/>
                <w:sz w:val="11"/>
              </w:rPr>
            </w:pPr>
            <w:r>
              <w:rPr>
                <w:b/>
                <w:color w:val="231F20"/>
                <w:w w:val="105"/>
                <w:sz w:val="11"/>
              </w:rPr>
              <w:t>ZN</w:t>
            </w:r>
          </w:p>
          <w:p>
            <w:pPr>
              <w:pStyle w:val="TableParagraph"/>
              <w:spacing w:line="240" w:lineRule="auto" w:before="24"/>
              <w:ind w:left="83"/>
              <w:rPr>
                <w:b/>
                <w:sz w:val="11"/>
              </w:rPr>
            </w:pPr>
            <w:r>
              <w:rPr>
                <w:b/>
                <w:color w:val="231F20"/>
                <w:w w:val="106"/>
                <w:sz w:val="11"/>
              </w:rPr>
              <w:t>%</w:t>
            </w:r>
          </w:p>
        </w:tc>
        <w:tc>
          <w:tcPr>
            <w:tcW w:w="398" w:type="dxa"/>
            <w:tcBorders>
              <w:top w:val="single" w:sz="4" w:space="0" w:color="231F20"/>
              <w:bottom w:val="single" w:sz="4" w:space="0" w:color="231F20"/>
            </w:tcBorders>
          </w:tcPr>
          <w:p>
            <w:pPr>
              <w:pStyle w:val="TableParagraph"/>
              <w:spacing w:line="240" w:lineRule="auto" w:before="15"/>
              <w:ind w:left="81"/>
              <w:rPr>
                <w:b/>
                <w:sz w:val="11"/>
              </w:rPr>
            </w:pPr>
            <w:r>
              <w:rPr>
                <w:b/>
                <w:color w:val="231F20"/>
                <w:w w:val="105"/>
                <w:sz w:val="11"/>
              </w:rPr>
              <w:t>AU</w:t>
            </w:r>
          </w:p>
          <w:p>
            <w:pPr>
              <w:pStyle w:val="TableParagraph"/>
              <w:spacing w:line="240" w:lineRule="auto" w:before="24"/>
              <w:ind w:left="55"/>
              <w:rPr>
                <w:b/>
                <w:sz w:val="11"/>
              </w:rPr>
            </w:pPr>
            <w:r>
              <w:rPr>
                <w:b/>
                <w:color w:val="231F20"/>
                <w:w w:val="105"/>
                <w:sz w:val="11"/>
              </w:rPr>
              <w:t>(g/t)</w:t>
            </w:r>
          </w:p>
        </w:tc>
        <w:tc>
          <w:tcPr>
            <w:tcW w:w="464" w:type="dxa"/>
            <w:tcBorders>
              <w:top w:val="single" w:sz="4" w:space="0" w:color="231F20"/>
              <w:bottom w:val="single" w:sz="4" w:space="0" w:color="231F20"/>
            </w:tcBorders>
          </w:tcPr>
          <w:p>
            <w:pPr>
              <w:pStyle w:val="TableParagraph"/>
              <w:spacing w:line="240" w:lineRule="auto" w:before="15"/>
              <w:ind w:left="106"/>
              <w:rPr>
                <w:b/>
                <w:sz w:val="11"/>
              </w:rPr>
            </w:pPr>
            <w:r>
              <w:rPr>
                <w:b/>
                <w:color w:val="231F20"/>
                <w:w w:val="105"/>
                <w:sz w:val="11"/>
              </w:rPr>
              <w:t>AG</w:t>
            </w:r>
          </w:p>
          <w:p>
            <w:pPr>
              <w:pStyle w:val="TableParagraph"/>
              <w:spacing w:line="240" w:lineRule="auto" w:before="24"/>
              <w:ind w:left="82"/>
              <w:rPr>
                <w:b/>
                <w:sz w:val="11"/>
              </w:rPr>
            </w:pPr>
            <w:r>
              <w:rPr>
                <w:b/>
                <w:color w:val="231F20"/>
                <w:w w:val="105"/>
                <w:sz w:val="11"/>
              </w:rPr>
              <w:t>(g/t)</w:t>
            </w:r>
          </w:p>
        </w:tc>
        <w:tc>
          <w:tcPr>
            <w:tcW w:w="826" w:type="dxa"/>
            <w:tcBorders>
              <w:top w:val="single" w:sz="4" w:space="0" w:color="231F20"/>
              <w:bottom w:val="single" w:sz="4" w:space="0" w:color="231F20"/>
            </w:tcBorders>
          </w:tcPr>
          <w:p>
            <w:pPr>
              <w:pStyle w:val="TableParagraph"/>
              <w:spacing w:line="240" w:lineRule="auto" w:before="15"/>
              <w:ind w:left="49" w:right="10"/>
              <w:jc w:val="center"/>
              <w:rPr>
                <w:b/>
                <w:sz w:val="11"/>
              </w:rPr>
            </w:pPr>
            <w:r>
              <w:rPr>
                <w:b/>
                <w:color w:val="231F20"/>
                <w:w w:val="105"/>
                <w:sz w:val="11"/>
              </w:rPr>
              <w:t>Orebody Age</w:t>
            </w:r>
          </w:p>
          <w:p>
            <w:pPr>
              <w:pStyle w:val="TableParagraph"/>
              <w:spacing w:line="240" w:lineRule="auto" w:before="24"/>
              <w:ind w:left="46" w:right="10"/>
              <w:jc w:val="center"/>
              <w:rPr>
                <w:b/>
                <w:sz w:val="11"/>
              </w:rPr>
            </w:pPr>
            <w:r>
              <w:rPr>
                <w:b/>
                <w:color w:val="231F20"/>
                <w:w w:val="105"/>
                <w:sz w:val="11"/>
              </w:rPr>
              <w:t>(est. Ma)</w:t>
            </w:r>
          </w:p>
        </w:tc>
      </w:tr>
      <w:tr>
        <w:trPr>
          <w:trHeight w:val="288" w:hRule="atLeast"/>
        </w:trPr>
        <w:tc>
          <w:tcPr>
            <w:tcW w:w="1537" w:type="dxa"/>
            <w:tcBorders>
              <w:top w:val="single" w:sz="4" w:space="0" w:color="231F20"/>
            </w:tcBorders>
          </w:tcPr>
          <w:p>
            <w:pPr>
              <w:pStyle w:val="TableParagraph"/>
              <w:spacing w:line="126" w:lineRule="exact" w:before="27"/>
              <w:ind w:left="22"/>
              <w:rPr>
                <w:b/>
                <w:sz w:val="11"/>
              </w:rPr>
            </w:pPr>
            <w:r>
              <w:rPr>
                <w:b/>
                <w:color w:val="231F20"/>
                <w:w w:val="105"/>
                <w:sz w:val="11"/>
              </w:rPr>
              <w:t>SUPERGIANT</w:t>
            </w:r>
          </w:p>
          <w:p>
            <w:pPr>
              <w:pStyle w:val="TableParagraph"/>
              <w:spacing w:line="115" w:lineRule="exact" w:before="0"/>
              <w:ind w:left="23"/>
              <w:rPr>
                <w:sz w:val="11"/>
              </w:rPr>
            </w:pPr>
            <w:r>
              <w:rPr>
                <w:color w:val="231F20"/>
                <w:w w:val="105"/>
                <w:sz w:val="11"/>
              </w:rPr>
              <w:t>Rio Tinto (Stockwork)</w:t>
            </w:r>
          </w:p>
        </w:tc>
        <w:tc>
          <w:tcPr>
            <w:tcW w:w="860" w:type="dxa"/>
            <w:tcBorders>
              <w:top w:val="single" w:sz="4" w:space="0" w:color="231F20"/>
            </w:tcBorders>
          </w:tcPr>
          <w:p>
            <w:pPr>
              <w:pStyle w:val="TableParagraph"/>
              <w:spacing w:line="240" w:lineRule="auto" w:before="3"/>
              <w:rPr>
                <w:rFonts w:ascii="Times New Roman"/>
                <w:sz w:val="13"/>
              </w:rPr>
            </w:pPr>
          </w:p>
          <w:p>
            <w:pPr>
              <w:pStyle w:val="TableParagraph"/>
              <w:spacing w:before="0"/>
              <w:ind w:left="114"/>
              <w:rPr>
                <w:sz w:val="11"/>
              </w:rPr>
            </w:pPr>
            <w:r>
              <w:rPr>
                <w:color w:val="231F20"/>
                <w:w w:val="105"/>
                <w:sz w:val="11"/>
              </w:rPr>
              <w:t>Spain</w:t>
            </w:r>
          </w:p>
        </w:tc>
        <w:tc>
          <w:tcPr>
            <w:tcW w:w="1652" w:type="dxa"/>
            <w:tcBorders>
              <w:top w:val="single" w:sz="4" w:space="0" w:color="231F20"/>
            </w:tcBorders>
          </w:tcPr>
          <w:p>
            <w:pPr>
              <w:pStyle w:val="TableParagraph"/>
              <w:spacing w:line="240" w:lineRule="auto" w:before="3"/>
              <w:rPr>
                <w:rFonts w:ascii="Times New Roman"/>
                <w:sz w:val="13"/>
              </w:rPr>
            </w:pPr>
          </w:p>
          <w:p>
            <w:pPr>
              <w:pStyle w:val="TableParagraph"/>
              <w:spacing w:before="0"/>
              <w:ind w:left="106"/>
              <w:rPr>
                <w:sz w:val="11"/>
              </w:rPr>
            </w:pPr>
            <w:r>
              <w:rPr>
                <w:color w:val="231F20"/>
                <w:w w:val="105"/>
                <w:sz w:val="11"/>
              </w:rPr>
              <w:t>Hercynian</w:t>
            </w:r>
          </w:p>
        </w:tc>
        <w:tc>
          <w:tcPr>
            <w:tcW w:w="910" w:type="dxa"/>
            <w:tcBorders>
              <w:top w:val="single" w:sz="4" w:space="0" w:color="231F20"/>
            </w:tcBorders>
          </w:tcPr>
          <w:p>
            <w:pPr>
              <w:pStyle w:val="TableParagraph"/>
              <w:spacing w:line="240" w:lineRule="auto" w:before="3"/>
              <w:rPr>
                <w:rFonts w:ascii="Times New Roman"/>
                <w:sz w:val="13"/>
              </w:rPr>
            </w:pPr>
          </w:p>
          <w:p>
            <w:pPr>
              <w:pStyle w:val="TableParagraph"/>
              <w:spacing w:before="0"/>
              <w:ind w:right="177"/>
              <w:jc w:val="right"/>
              <w:rPr>
                <w:sz w:val="11"/>
              </w:rPr>
            </w:pPr>
            <w:r>
              <w:rPr>
                <w:color w:val="231F20"/>
                <w:w w:val="105"/>
                <w:sz w:val="11"/>
              </w:rPr>
              <w:t>1200.00</w:t>
            </w:r>
          </w:p>
        </w:tc>
        <w:tc>
          <w:tcPr>
            <w:tcW w:w="364" w:type="dxa"/>
            <w:tcBorders>
              <w:top w:val="single" w:sz="4" w:space="0" w:color="231F20"/>
            </w:tcBorders>
          </w:tcPr>
          <w:p>
            <w:pPr>
              <w:pStyle w:val="TableParagraph"/>
              <w:spacing w:line="240" w:lineRule="auto" w:before="3"/>
              <w:rPr>
                <w:rFonts w:ascii="Times New Roman"/>
                <w:sz w:val="13"/>
              </w:rPr>
            </w:pPr>
          </w:p>
          <w:p>
            <w:pPr>
              <w:pStyle w:val="TableParagraph"/>
              <w:spacing w:before="0"/>
              <w:ind w:right="16"/>
              <w:jc w:val="right"/>
              <w:rPr>
                <w:sz w:val="11"/>
              </w:rPr>
            </w:pPr>
            <w:r>
              <w:rPr>
                <w:color w:val="231F20"/>
                <w:w w:val="105"/>
                <w:sz w:val="11"/>
              </w:rPr>
              <w:t>0.15</w:t>
            </w:r>
          </w:p>
        </w:tc>
        <w:tc>
          <w:tcPr>
            <w:tcW w:w="426" w:type="dxa"/>
            <w:tcBorders>
              <w:top w:val="single" w:sz="4" w:space="0" w:color="231F20"/>
            </w:tcBorders>
          </w:tcPr>
          <w:p>
            <w:pPr>
              <w:pStyle w:val="TableParagraph"/>
              <w:spacing w:line="240" w:lineRule="auto" w:before="0"/>
              <w:rPr>
                <w:rFonts w:ascii="Times New Roman"/>
                <w:sz w:val="10"/>
              </w:rPr>
            </w:pPr>
          </w:p>
        </w:tc>
        <w:tc>
          <w:tcPr>
            <w:tcW w:w="357" w:type="dxa"/>
            <w:tcBorders>
              <w:top w:val="single" w:sz="4" w:space="0" w:color="231F20"/>
            </w:tcBorders>
          </w:tcPr>
          <w:p>
            <w:pPr>
              <w:pStyle w:val="TableParagraph"/>
              <w:spacing w:line="240" w:lineRule="auto" w:before="3"/>
              <w:rPr>
                <w:rFonts w:ascii="Times New Roman"/>
                <w:sz w:val="13"/>
              </w:rPr>
            </w:pPr>
          </w:p>
          <w:p>
            <w:pPr>
              <w:pStyle w:val="TableParagraph"/>
              <w:spacing w:before="0"/>
              <w:ind w:right="60"/>
              <w:jc w:val="right"/>
              <w:rPr>
                <w:sz w:val="11"/>
              </w:rPr>
            </w:pPr>
            <w:r>
              <w:rPr>
                <w:color w:val="231F20"/>
                <w:w w:val="105"/>
                <w:sz w:val="11"/>
              </w:rPr>
              <w:t>0.15</w:t>
            </w:r>
          </w:p>
        </w:tc>
        <w:tc>
          <w:tcPr>
            <w:tcW w:w="398" w:type="dxa"/>
            <w:tcBorders>
              <w:top w:val="single" w:sz="4" w:space="0" w:color="231F20"/>
            </w:tcBorders>
          </w:tcPr>
          <w:p>
            <w:pPr>
              <w:pStyle w:val="TableParagraph"/>
              <w:spacing w:line="240" w:lineRule="auto" w:before="0"/>
              <w:rPr>
                <w:rFonts w:ascii="Times New Roman"/>
                <w:sz w:val="10"/>
              </w:rPr>
            </w:pPr>
          </w:p>
        </w:tc>
        <w:tc>
          <w:tcPr>
            <w:tcW w:w="464" w:type="dxa"/>
            <w:tcBorders>
              <w:top w:val="single" w:sz="4" w:space="0" w:color="231F20"/>
            </w:tcBorders>
          </w:tcPr>
          <w:p>
            <w:pPr>
              <w:pStyle w:val="TableParagraph"/>
              <w:spacing w:line="240" w:lineRule="auto" w:before="3"/>
              <w:rPr>
                <w:rFonts w:ascii="Times New Roman"/>
                <w:sz w:val="13"/>
              </w:rPr>
            </w:pPr>
          </w:p>
          <w:p>
            <w:pPr>
              <w:pStyle w:val="TableParagraph"/>
              <w:spacing w:before="0"/>
              <w:ind w:left="144" w:right="54"/>
              <w:jc w:val="center"/>
              <w:rPr>
                <w:sz w:val="11"/>
              </w:rPr>
            </w:pPr>
            <w:r>
              <w:rPr>
                <w:color w:val="231F20"/>
                <w:w w:val="105"/>
                <w:sz w:val="11"/>
              </w:rPr>
              <w:t>7.00</w:t>
            </w:r>
          </w:p>
        </w:tc>
        <w:tc>
          <w:tcPr>
            <w:tcW w:w="826" w:type="dxa"/>
            <w:tcBorders>
              <w:top w:val="single" w:sz="4" w:space="0" w:color="231F20"/>
            </w:tcBorders>
          </w:tcPr>
          <w:p>
            <w:pPr>
              <w:pStyle w:val="TableParagraph"/>
              <w:spacing w:line="240" w:lineRule="auto" w:before="3"/>
              <w:rPr>
                <w:rFonts w:ascii="Times New Roman"/>
                <w:sz w:val="13"/>
              </w:rPr>
            </w:pPr>
          </w:p>
          <w:p>
            <w:pPr>
              <w:pStyle w:val="TableParagraph"/>
              <w:spacing w:before="0"/>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231F20"/>
                <w:w w:val="105"/>
                <w:sz w:val="11"/>
              </w:rPr>
              <w:t>Rio Tinto (Massive)</w:t>
            </w:r>
          </w:p>
        </w:tc>
        <w:tc>
          <w:tcPr>
            <w:tcW w:w="860" w:type="dxa"/>
          </w:tcPr>
          <w:p>
            <w:pPr>
              <w:pStyle w:val="TableParagraph"/>
              <w:ind w:left="114"/>
              <w:rPr>
                <w:sz w:val="11"/>
              </w:rPr>
            </w:pPr>
            <w:r>
              <w:rPr>
                <w:color w:val="231F20"/>
                <w:w w:val="105"/>
                <w:sz w:val="11"/>
              </w:rPr>
              <w:t>Spain</w:t>
            </w:r>
          </w:p>
        </w:tc>
        <w:tc>
          <w:tcPr>
            <w:tcW w:w="1652" w:type="dxa"/>
          </w:tcPr>
          <w:p>
            <w:pPr>
              <w:pStyle w:val="TableParagraph"/>
              <w:ind w:left="106"/>
              <w:rPr>
                <w:sz w:val="11"/>
              </w:rPr>
            </w:pPr>
            <w:r>
              <w:rPr>
                <w:color w:val="231F20"/>
                <w:w w:val="105"/>
                <w:sz w:val="11"/>
              </w:rPr>
              <w:t>Hercynian</w:t>
            </w:r>
          </w:p>
        </w:tc>
        <w:tc>
          <w:tcPr>
            <w:tcW w:w="910" w:type="dxa"/>
          </w:tcPr>
          <w:p>
            <w:pPr>
              <w:pStyle w:val="TableParagraph"/>
              <w:ind w:right="177"/>
              <w:jc w:val="right"/>
              <w:rPr>
                <w:sz w:val="11"/>
              </w:rPr>
            </w:pPr>
            <w:r>
              <w:rPr>
                <w:color w:val="231F20"/>
                <w:w w:val="105"/>
                <w:sz w:val="11"/>
              </w:rPr>
              <w:t>335.00</w:t>
            </w:r>
          </w:p>
        </w:tc>
        <w:tc>
          <w:tcPr>
            <w:tcW w:w="364" w:type="dxa"/>
          </w:tcPr>
          <w:p>
            <w:pPr>
              <w:pStyle w:val="TableParagraph"/>
              <w:ind w:right="16"/>
              <w:jc w:val="right"/>
              <w:rPr>
                <w:sz w:val="11"/>
              </w:rPr>
            </w:pPr>
            <w:r>
              <w:rPr>
                <w:color w:val="231F20"/>
                <w:w w:val="105"/>
                <w:sz w:val="11"/>
              </w:rPr>
              <w:t>0.39</w:t>
            </w:r>
          </w:p>
        </w:tc>
        <w:tc>
          <w:tcPr>
            <w:tcW w:w="426" w:type="dxa"/>
          </w:tcPr>
          <w:p>
            <w:pPr>
              <w:pStyle w:val="TableParagraph"/>
              <w:ind w:right="59"/>
              <w:jc w:val="right"/>
              <w:rPr>
                <w:sz w:val="11"/>
              </w:rPr>
            </w:pPr>
            <w:r>
              <w:rPr>
                <w:color w:val="231F20"/>
                <w:w w:val="105"/>
                <w:sz w:val="11"/>
              </w:rPr>
              <w:t>0.12</w:t>
            </w:r>
          </w:p>
        </w:tc>
        <w:tc>
          <w:tcPr>
            <w:tcW w:w="357" w:type="dxa"/>
          </w:tcPr>
          <w:p>
            <w:pPr>
              <w:pStyle w:val="TableParagraph"/>
              <w:ind w:right="60"/>
              <w:jc w:val="right"/>
              <w:rPr>
                <w:sz w:val="11"/>
              </w:rPr>
            </w:pPr>
            <w:r>
              <w:rPr>
                <w:color w:val="231F20"/>
                <w:w w:val="105"/>
                <w:sz w:val="11"/>
              </w:rPr>
              <w:t>0.34</w:t>
            </w:r>
          </w:p>
        </w:tc>
        <w:tc>
          <w:tcPr>
            <w:tcW w:w="398" w:type="dxa"/>
          </w:tcPr>
          <w:p>
            <w:pPr>
              <w:pStyle w:val="TableParagraph"/>
              <w:ind w:right="36"/>
              <w:jc w:val="right"/>
              <w:rPr>
                <w:sz w:val="11"/>
              </w:rPr>
            </w:pPr>
            <w:r>
              <w:rPr>
                <w:color w:val="231F20"/>
                <w:w w:val="105"/>
                <w:sz w:val="11"/>
              </w:rPr>
              <w:t>0.36</w:t>
            </w:r>
          </w:p>
        </w:tc>
        <w:tc>
          <w:tcPr>
            <w:tcW w:w="464" w:type="dxa"/>
          </w:tcPr>
          <w:p>
            <w:pPr>
              <w:pStyle w:val="TableParagraph"/>
              <w:ind w:left="78" w:right="54"/>
              <w:jc w:val="center"/>
              <w:rPr>
                <w:sz w:val="11"/>
              </w:rPr>
            </w:pPr>
            <w:r>
              <w:rPr>
                <w:color w:val="231F20"/>
                <w:w w:val="105"/>
                <w:sz w:val="11"/>
              </w:rPr>
              <w:t>22.00</w:t>
            </w:r>
          </w:p>
        </w:tc>
        <w:tc>
          <w:tcPr>
            <w:tcW w:w="826" w:type="dxa"/>
          </w:tcPr>
          <w:p>
            <w:pPr>
              <w:pStyle w:val="TableParagraph"/>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231F20"/>
                <w:w w:val="105"/>
                <w:sz w:val="11"/>
              </w:rPr>
              <w:t>Kholodnina</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6"/>
              <w:rPr>
                <w:sz w:val="11"/>
              </w:rPr>
            </w:pPr>
            <w:r>
              <w:rPr>
                <w:color w:val="231F20"/>
                <w:w w:val="105"/>
                <w:sz w:val="11"/>
              </w:rPr>
              <w:t>Baikal-Vitim</w:t>
            </w:r>
          </w:p>
        </w:tc>
        <w:tc>
          <w:tcPr>
            <w:tcW w:w="910" w:type="dxa"/>
          </w:tcPr>
          <w:p>
            <w:pPr>
              <w:pStyle w:val="TableParagraph"/>
              <w:ind w:right="177"/>
              <w:jc w:val="right"/>
              <w:rPr>
                <w:sz w:val="11"/>
              </w:rPr>
            </w:pPr>
            <w:r>
              <w:rPr>
                <w:color w:val="231F20"/>
                <w:w w:val="105"/>
                <w:sz w:val="11"/>
              </w:rPr>
              <w:t>300.00</w:t>
            </w:r>
          </w:p>
        </w:tc>
        <w:tc>
          <w:tcPr>
            <w:tcW w:w="364" w:type="dxa"/>
          </w:tcPr>
          <w:p>
            <w:pPr>
              <w:pStyle w:val="TableParagraph"/>
              <w:ind w:right="16"/>
              <w:jc w:val="right"/>
              <w:rPr>
                <w:sz w:val="11"/>
              </w:rPr>
            </w:pPr>
            <w:r>
              <w:rPr>
                <w:color w:val="231F20"/>
                <w:w w:val="105"/>
                <w:sz w:val="11"/>
              </w:rPr>
              <w:t>0.04</w:t>
            </w:r>
          </w:p>
        </w:tc>
        <w:tc>
          <w:tcPr>
            <w:tcW w:w="426" w:type="dxa"/>
          </w:tcPr>
          <w:p>
            <w:pPr>
              <w:pStyle w:val="TableParagraph"/>
              <w:ind w:right="59"/>
              <w:jc w:val="right"/>
              <w:rPr>
                <w:sz w:val="11"/>
              </w:rPr>
            </w:pPr>
            <w:r>
              <w:rPr>
                <w:color w:val="231F20"/>
                <w:w w:val="105"/>
                <w:sz w:val="11"/>
              </w:rPr>
              <w:t>0.79</w:t>
            </w:r>
          </w:p>
        </w:tc>
        <w:tc>
          <w:tcPr>
            <w:tcW w:w="357" w:type="dxa"/>
          </w:tcPr>
          <w:p>
            <w:pPr>
              <w:pStyle w:val="TableParagraph"/>
              <w:ind w:right="60"/>
              <w:jc w:val="right"/>
              <w:rPr>
                <w:sz w:val="11"/>
              </w:rPr>
            </w:pPr>
            <w:r>
              <w:rPr>
                <w:color w:val="231F20"/>
                <w:w w:val="105"/>
                <w:sz w:val="11"/>
              </w:rPr>
              <w:t>5.2</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6" w:right="10"/>
              <w:jc w:val="center"/>
              <w:rPr>
                <w:sz w:val="11"/>
              </w:rPr>
            </w:pPr>
            <w:r>
              <w:rPr>
                <w:color w:val="231F20"/>
                <w:w w:val="105"/>
                <w:sz w:val="11"/>
              </w:rPr>
              <w:t>750</w:t>
            </w:r>
          </w:p>
        </w:tc>
      </w:tr>
      <w:tr>
        <w:trPr>
          <w:trHeight w:val="146" w:hRule="atLeast"/>
        </w:trPr>
        <w:tc>
          <w:tcPr>
            <w:tcW w:w="1537" w:type="dxa"/>
          </w:tcPr>
          <w:p>
            <w:pPr>
              <w:pStyle w:val="TableParagraph"/>
              <w:ind w:left="23"/>
              <w:rPr>
                <w:sz w:val="11"/>
              </w:rPr>
            </w:pPr>
            <w:r>
              <w:rPr>
                <w:color w:val="ED2024"/>
                <w:w w:val="105"/>
                <w:sz w:val="11"/>
              </w:rPr>
              <w:t>Windy Craggy (Cu,Co)</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N.Cordilleran</w:t>
            </w:r>
          </w:p>
        </w:tc>
        <w:tc>
          <w:tcPr>
            <w:tcW w:w="910" w:type="dxa"/>
          </w:tcPr>
          <w:p>
            <w:pPr>
              <w:pStyle w:val="TableParagraph"/>
              <w:ind w:right="177"/>
              <w:jc w:val="right"/>
              <w:rPr>
                <w:sz w:val="11"/>
              </w:rPr>
            </w:pPr>
            <w:r>
              <w:rPr>
                <w:color w:val="ED2024"/>
                <w:w w:val="105"/>
                <w:sz w:val="11"/>
              </w:rPr>
              <w:t>297.40</w:t>
            </w:r>
          </w:p>
        </w:tc>
        <w:tc>
          <w:tcPr>
            <w:tcW w:w="364" w:type="dxa"/>
          </w:tcPr>
          <w:p>
            <w:pPr>
              <w:pStyle w:val="TableParagraph"/>
              <w:ind w:right="16"/>
              <w:jc w:val="right"/>
              <w:rPr>
                <w:sz w:val="11"/>
              </w:rPr>
            </w:pPr>
            <w:r>
              <w:rPr>
                <w:color w:val="ED2024"/>
                <w:w w:val="105"/>
                <w:sz w:val="11"/>
              </w:rPr>
              <w:t>1.38</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ED2024"/>
                <w:w w:val="105"/>
                <w:sz w:val="11"/>
              </w:rPr>
              <w:t>0.25</w:t>
            </w:r>
          </w:p>
        </w:tc>
        <w:tc>
          <w:tcPr>
            <w:tcW w:w="398" w:type="dxa"/>
          </w:tcPr>
          <w:p>
            <w:pPr>
              <w:pStyle w:val="TableParagraph"/>
              <w:ind w:right="37"/>
              <w:jc w:val="right"/>
              <w:rPr>
                <w:sz w:val="11"/>
              </w:rPr>
            </w:pPr>
            <w:r>
              <w:rPr>
                <w:color w:val="ED2024"/>
                <w:w w:val="105"/>
                <w:sz w:val="11"/>
              </w:rPr>
              <w:t>0.22</w:t>
            </w:r>
          </w:p>
        </w:tc>
        <w:tc>
          <w:tcPr>
            <w:tcW w:w="464" w:type="dxa"/>
          </w:tcPr>
          <w:p>
            <w:pPr>
              <w:pStyle w:val="TableParagraph"/>
              <w:ind w:left="143" w:right="54"/>
              <w:jc w:val="center"/>
              <w:rPr>
                <w:sz w:val="11"/>
              </w:rPr>
            </w:pPr>
            <w:r>
              <w:rPr>
                <w:color w:val="ED2024"/>
                <w:w w:val="105"/>
                <w:sz w:val="11"/>
              </w:rPr>
              <w:t>3.83</w:t>
            </w:r>
          </w:p>
        </w:tc>
        <w:tc>
          <w:tcPr>
            <w:tcW w:w="826" w:type="dxa"/>
          </w:tcPr>
          <w:p>
            <w:pPr>
              <w:pStyle w:val="TableParagraph"/>
              <w:ind w:left="46" w:right="10"/>
              <w:jc w:val="center"/>
              <w:rPr>
                <w:sz w:val="11"/>
              </w:rPr>
            </w:pPr>
            <w:r>
              <w:rPr>
                <w:color w:val="ED2024"/>
                <w:w w:val="105"/>
                <w:sz w:val="11"/>
              </w:rPr>
              <w:t>220</w:t>
            </w:r>
          </w:p>
        </w:tc>
      </w:tr>
      <w:tr>
        <w:trPr>
          <w:trHeight w:val="146" w:hRule="atLeast"/>
        </w:trPr>
        <w:tc>
          <w:tcPr>
            <w:tcW w:w="1537" w:type="dxa"/>
          </w:tcPr>
          <w:p>
            <w:pPr>
              <w:pStyle w:val="TableParagraph"/>
              <w:ind w:left="23"/>
              <w:rPr>
                <w:sz w:val="11"/>
              </w:rPr>
            </w:pPr>
            <w:r>
              <w:rPr>
                <w:color w:val="231F20"/>
                <w:w w:val="105"/>
                <w:sz w:val="11"/>
              </w:rPr>
              <w:t>Neves Corvo Group</w:t>
            </w:r>
          </w:p>
        </w:tc>
        <w:tc>
          <w:tcPr>
            <w:tcW w:w="860" w:type="dxa"/>
          </w:tcPr>
          <w:p>
            <w:pPr>
              <w:pStyle w:val="TableParagraph"/>
              <w:ind w:left="114"/>
              <w:rPr>
                <w:sz w:val="11"/>
              </w:rPr>
            </w:pPr>
            <w:r>
              <w:rPr>
                <w:color w:val="231F20"/>
                <w:w w:val="105"/>
                <w:sz w:val="11"/>
              </w:rPr>
              <w:t>Portugal</w:t>
            </w:r>
          </w:p>
        </w:tc>
        <w:tc>
          <w:tcPr>
            <w:tcW w:w="1652" w:type="dxa"/>
          </w:tcPr>
          <w:p>
            <w:pPr>
              <w:pStyle w:val="TableParagraph"/>
              <w:ind w:left="106"/>
              <w:rPr>
                <w:sz w:val="11"/>
              </w:rPr>
            </w:pPr>
            <w:r>
              <w:rPr>
                <w:color w:val="231F20"/>
                <w:w w:val="105"/>
                <w:sz w:val="11"/>
              </w:rPr>
              <w:t>Hercynian</w:t>
            </w:r>
          </w:p>
        </w:tc>
        <w:tc>
          <w:tcPr>
            <w:tcW w:w="910" w:type="dxa"/>
          </w:tcPr>
          <w:p>
            <w:pPr>
              <w:pStyle w:val="TableParagraph"/>
              <w:ind w:right="177"/>
              <w:jc w:val="right"/>
              <w:rPr>
                <w:sz w:val="11"/>
              </w:rPr>
            </w:pPr>
            <w:r>
              <w:rPr>
                <w:color w:val="231F20"/>
                <w:w w:val="105"/>
                <w:sz w:val="11"/>
              </w:rPr>
              <w:t>270.00</w:t>
            </w:r>
          </w:p>
        </w:tc>
        <w:tc>
          <w:tcPr>
            <w:tcW w:w="364" w:type="dxa"/>
          </w:tcPr>
          <w:p>
            <w:pPr>
              <w:pStyle w:val="TableParagraph"/>
              <w:ind w:right="16"/>
              <w:jc w:val="right"/>
              <w:rPr>
                <w:sz w:val="11"/>
              </w:rPr>
            </w:pPr>
            <w:r>
              <w:rPr>
                <w:color w:val="231F20"/>
                <w:w w:val="105"/>
                <w:sz w:val="11"/>
              </w:rPr>
              <w:t>1.59</w:t>
            </w:r>
          </w:p>
        </w:tc>
        <w:tc>
          <w:tcPr>
            <w:tcW w:w="426" w:type="dxa"/>
          </w:tcPr>
          <w:p>
            <w:pPr>
              <w:pStyle w:val="TableParagraph"/>
              <w:ind w:right="59"/>
              <w:jc w:val="right"/>
              <w:rPr>
                <w:sz w:val="11"/>
              </w:rPr>
            </w:pPr>
            <w:r>
              <w:rPr>
                <w:color w:val="231F20"/>
                <w:w w:val="105"/>
                <w:sz w:val="11"/>
              </w:rPr>
              <w:t>0.15</w:t>
            </w:r>
          </w:p>
        </w:tc>
        <w:tc>
          <w:tcPr>
            <w:tcW w:w="357" w:type="dxa"/>
          </w:tcPr>
          <w:p>
            <w:pPr>
              <w:pStyle w:val="TableParagraph"/>
              <w:ind w:right="60"/>
              <w:jc w:val="right"/>
              <w:rPr>
                <w:sz w:val="11"/>
              </w:rPr>
            </w:pPr>
            <w:r>
              <w:rPr>
                <w:color w:val="231F20"/>
                <w:w w:val="105"/>
                <w:sz w:val="11"/>
              </w:rPr>
              <w:t>1.41</w:t>
            </w:r>
          </w:p>
        </w:tc>
        <w:tc>
          <w:tcPr>
            <w:tcW w:w="398" w:type="dxa"/>
          </w:tcPr>
          <w:p>
            <w:pPr>
              <w:pStyle w:val="TableParagraph"/>
              <w:spacing w:line="240" w:lineRule="auto" w:before="0"/>
              <w:rPr>
                <w:rFonts w:ascii="Times New Roman"/>
                <w:sz w:val="8"/>
              </w:rPr>
            </w:pPr>
          </w:p>
        </w:tc>
        <w:tc>
          <w:tcPr>
            <w:tcW w:w="464" w:type="dxa"/>
          </w:tcPr>
          <w:p>
            <w:pPr>
              <w:pStyle w:val="TableParagraph"/>
              <w:ind w:left="144" w:right="54"/>
              <w:jc w:val="center"/>
              <w:rPr>
                <w:sz w:val="11"/>
              </w:rPr>
            </w:pPr>
            <w:r>
              <w:rPr>
                <w:color w:val="231F20"/>
                <w:w w:val="105"/>
                <w:sz w:val="11"/>
              </w:rPr>
              <w:t>9.87</w:t>
            </w:r>
          </w:p>
        </w:tc>
        <w:tc>
          <w:tcPr>
            <w:tcW w:w="826" w:type="dxa"/>
          </w:tcPr>
          <w:p>
            <w:pPr>
              <w:pStyle w:val="TableParagraph"/>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231F20"/>
                <w:w w:val="105"/>
                <w:sz w:val="11"/>
              </w:rPr>
              <w:t>Gai East</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6"/>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269.00</w:t>
            </w:r>
          </w:p>
        </w:tc>
        <w:tc>
          <w:tcPr>
            <w:tcW w:w="364" w:type="dxa"/>
          </w:tcPr>
          <w:p>
            <w:pPr>
              <w:pStyle w:val="TableParagraph"/>
              <w:ind w:right="16"/>
              <w:jc w:val="right"/>
              <w:rPr>
                <w:sz w:val="11"/>
              </w:rPr>
            </w:pPr>
            <w:r>
              <w:rPr>
                <w:color w:val="231F20"/>
                <w:w w:val="105"/>
                <w:sz w:val="11"/>
              </w:rPr>
              <w:t>1.2</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0.7</w:t>
            </w:r>
          </w:p>
        </w:tc>
        <w:tc>
          <w:tcPr>
            <w:tcW w:w="398" w:type="dxa"/>
          </w:tcPr>
          <w:p>
            <w:pPr>
              <w:pStyle w:val="TableParagraph"/>
              <w:ind w:right="37"/>
              <w:jc w:val="right"/>
              <w:rPr>
                <w:sz w:val="11"/>
              </w:rPr>
            </w:pPr>
            <w:r>
              <w:rPr>
                <w:color w:val="231F20"/>
                <w:w w:val="105"/>
                <w:sz w:val="11"/>
              </w:rPr>
              <w:t>1.10</w:t>
            </w:r>
          </w:p>
        </w:tc>
        <w:tc>
          <w:tcPr>
            <w:tcW w:w="464" w:type="dxa"/>
          </w:tcPr>
          <w:p>
            <w:pPr>
              <w:pStyle w:val="TableParagraph"/>
              <w:ind w:left="144" w:right="54"/>
              <w:jc w:val="center"/>
              <w:rPr>
                <w:sz w:val="11"/>
              </w:rPr>
            </w:pPr>
            <w:r>
              <w:rPr>
                <w:color w:val="231F20"/>
                <w:w w:val="105"/>
                <w:sz w:val="11"/>
              </w:rPr>
              <w:t>7.70</w:t>
            </w:r>
          </w:p>
        </w:tc>
        <w:tc>
          <w:tcPr>
            <w:tcW w:w="826" w:type="dxa"/>
          </w:tcPr>
          <w:p>
            <w:pPr>
              <w:pStyle w:val="TableParagraph"/>
              <w:ind w:left="46" w:right="10"/>
              <w:jc w:val="center"/>
              <w:rPr>
                <w:sz w:val="11"/>
              </w:rPr>
            </w:pPr>
            <w:r>
              <w:rPr>
                <w:color w:val="231F20"/>
                <w:w w:val="105"/>
                <w:sz w:val="11"/>
              </w:rPr>
              <w:t>395</w:t>
            </w:r>
          </w:p>
        </w:tc>
      </w:tr>
      <w:tr>
        <w:trPr>
          <w:trHeight w:val="146" w:hRule="atLeast"/>
        </w:trPr>
        <w:tc>
          <w:tcPr>
            <w:tcW w:w="1537" w:type="dxa"/>
          </w:tcPr>
          <w:p>
            <w:pPr>
              <w:pStyle w:val="TableParagraph"/>
              <w:ind w:left="23"/>
              <w:rPr>
                <w:sz w:val="11"/>
              </w:rPr>
            </w:pPr>
            <w:r>
              <w:rPr>
                <w:color w:val="231F20"/>
                <w:w w:val="105"/>
                <w:sz w:val="11"/>
              </w:rPr>
              <w:t>Aljustrel Group (total)</w:t>
            </w:r>
          </w:p>
        </w:tc>
        <w:tc>
          <w:tcPr>
            <w:tcW w:w="860" w:type="dxa"/>
          </w:tcPr>
          <w:p>
            <w:pPr>
              <w:pStyle w:val="TableParagraph"/>
              <w:ind w:left="114"/>
              <w:rPr>
                <w:sz w:val="11"/>
              </w:rPr>
            </w:pPr>
            <w:r>
              <w:rPr>
                <w:color w:val="231F20"/>
                <w:w w:val="105"/>
                <w:sz w:val="11"/>
              </w:rPr>
              <w:t>Portugal</w:t>
            </w:r>
          </w:p>
        </w:tc>
        <w:tc>
          <w:tcPr>
            <w:tcW w:w="1652" w:type="dxa"/>
          </w:tcPr>
          <w:p>
            <w:pPr>
              <w:pStyle w:val="TableParagraph"/>
              <w:ind w:left="106"/>
              <w:rPr>
                <w:sz w:val="11"/>
              </w:rPr>
            </w:pPr>
            <w:r>
              <w:rPr>
                <w:color w:val="231F20"/>
                <w:w w:val="105"/>
                <w:sz w:val="11"/>
              </w:rPr>
              <w:t>Hercynian</w:t>
            </w:r>
          </w:p>
        </w:tc>
        <w:tc>
          <w:tcPr>
            <w:tcW w:w="910" w:type="dxa"/>
          </w:tcPr>
          <w:p>
            <w:pPr>
              <w:pStyle w:val="TableParagraph"/>
              <w:ind w:right="177"/>
              <w:jc w:val="right"/>
              <w:rPr>
                <w:sz w:val="11"/>
              </w:rPr>
            </w:pPr>
            <w:r>
              <w:rPr>
                <w:color w:val="231F20"/>
                <w:w w:val="105"/>
                <w:sz w:val="11"/>
              </w:rPr>
              <w:t>250.00</w:t>
            </w:r>
          </w:p>
        </w:tc>
        <w:tc>
          <w:tcPr>
            <w:tcW w:w="364" w:type="dxa"/>
          </w:tcPr>
          <w:p>
            <w:pPr>
              <w:pStyle w:val="TableParagraph"/>
              <w:ind w:right="16"/>
              <w:jc w:val="right"/>
              <w:rPr>
                <w:sz w:val="11"/>
              </w:rPr>
            </w:pPr>
            <w:r>
              <w:rPr>
                <w:color w:val="231F20"/>
                <w:w w:val="105"/>
                <w:sz w:val="11"/>
              </w:rPr>
              <w:t>1.2</w:t>
            </w:r>
          </w:p>
        </w:tc>
        <w:tc>
          <w:tcPr>
            <w:tcW w:w="426" w:type="dxa"/>
          </w:tcPr>
          <w:p>
            <w:pPr>
              <w:pStyle w:val="TableParagraph"/>
              <w:ind w:right="58"/>
              <w:jc w:val="right"/>
              <w:rPr>
                <w:sz w:val="11"/>
              </w:rPr>
            </w:pPr>
            <w:r>
              <w:rPr>
                <w:color w:val="231F20"/>
                <w:w w:val="105"/>
                <w:sz w:val="11"/>
              </w:rPr>
              <w:t>1.2</w:t>
            </w:r>
          </w:p>
        </w:tc>
        <w:tc>
          <w:tcPr>
            <w:tcW w:w="357" w:type="dxa"/>
          </w:tcPr>
          <w:p>
            <w:pPr>
              <w:pStyle w:val="TableParagraph"/>
              <w:ind w:right="59"/>
              <w:jc w:val="right"/>
              <w:rPr>
                <w:sz w:val="11"/>
              </w:rPr>
            </w:pPr>
            <w:r>
              <w:rPr>
                <w:color w:val="231F20"/>
                <w:w w:val="105"/>
                <w:sz w:val="11"/>
              </w:rPr>
              <w:t>3.2</w:t>
            </w:r>
          </w:p>
        </w:tc>
        <w:tc>
          <w:tcPr>
            <w:tcW w:w="398" w:type="dxa"/>
          </w:tcPr>
          <w:p>
            <w:pPr>
              <w:pStyle w:val="TableParagraph"/>
              <w:ind w:right="36"/>
              <w:jc w:val="right"/>
              <w:rPr>
                <w:sz w:val="11"/>
              </w:rPr>
            </w:pPr>
            <w:r>
              <w:rPr>
                <w:color w:val="231F20"/>
                <w:w w:val="105"/>
                <w:sz w:val="11"/>
              </w:rPr>
              <w:t>1.00</w:t>
            </w:r>
          </w:p>
        </w:tc>
        <w:tc>
          <w:tcPr>
            <w:tcW w:w="464" w:type="dxa"/>
          </w:tcPr>
          <w:p>
            <w:pPr>
              <w:pStyle w:val="TableParagraph"/>
              <w:ind w:left="78" w:right="54"/>
              <w:jc w:val="center"/>
              <w:rPr>
                <w:sz w:val="11"/>
              </w:rPr>
            </w:pPr>
            <w:r>
              <w:rPr>
                <w:color w:val="231F20"/>
                <w:w w:val="105"/>
                <w:sz w:val="11"/>
              </w:rPr>
              <w:t>38.00</w:t>
            </w:r>
          </w:p>
        </w:tc>
        <w:tc>
          <w:tcPr>
            <w:tcW w:w="826" w:type="dxa"/>
          </w:tcPr>
          <w:p>
            <w:pPr>
              <w:pStyle w:val="TableParagraph"/>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ED2024"/>
                <w:w w:val="105"/>
                <w:sz w:val="11"/>
              </w:rPr>
              <w:t>Brunswick #12</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Appalachian</w:t>
            </w:r>
          </w:p>
        </w:tc>
        <w:tc>
          <w:tcPr>
            <w:tcW w:w="910" w:type="dxa"/>
          </w:tcPr>
          <w:p>
            <w:pPr>
              <w:pStyle w:val="TableParagraph"/>
              <w:ind w:right="177"/>
              <w:jc w:val="right"/>
              <w:rPr>
                <w:sz w:val="11"/>
              </w:rPr>
            </w:pPr>
            <w:r>
              <w:rPr>
                <w:color w:val="ED2024"/>
                <w:w w:val="105"/>
                <w:sz w:val="11"/>
              </w:rPr>
              <w:t>229.80</w:t>
            </w:r>
          </w:p>
        </w:tc>
        <w:tc>
          <w:tcPr>
            <w:tcW w:w="364" w:type="dxa"/>
          </w:tcPr>
          <w:p>
            <w:pPr>
              <w:pStyle w:val="TableParagraph"/>
              <w:ind w:right="16"/>
              <w:jc w:val="right"/>
              <w:rPr>
                <w:sz w:val="11"/>
              </w:rPr>
            </w:pPr>
            <w:r>
              <w:rPr>
                <w:color w:val="ED2024"/>
                <w:w w:val="105"/>
                <w:sz w:val="11"/>
              </w:rPr>
              <w:t>0.46</w:t>
            </w:r>
          </w:p>
        </w:tc>
        <w:tc>
          <w:tcPr>
            <w:tcW w:w="426" w:type="dxa"/>
          </w:tcPr>
          <w:p>
            <w:pPr>
              <w:pStyle w:val="TableParagraph"/>
              <w:ind w:right="59"/>
              <w:jc w:val="right"/>
              <w:rPr>
                <w:sz w:val="11"/>
              </w:rPr>
            </w:pPr>
            <w:r>
              <w:rPr>
                <w:color w:val="ED2024"/>
                <w:w w:val="105"/>
                <w:sz w:val="11"/>
              </w:rPr>
              <w:t>3.01</w:t>
            </w:r>
          </w:p>
        </w:tc>
        <w:tc>
          <w:tcPr>
            <w:tcW w:w="357" w:type="dxa"/>
          </w:tcPr>
          <w:p>
            <w:pPr>
              <w:pStyle w:val="TableParagraph"/>
              <w:ind w:right="60"/>
              <w:jc w:val="right"/>
              <w:rPr>
                <w:sz w:val="11"/>
              </w:rPr>
            </w:pPr>
            <w:r>
              <w:rPr>
                <w:color w:val="ED2024"/>
                <w:w w:val="105"/>
                <w:sz w:val="11"/>
              </w:rPr>
              <w:t>7.66</w:t>
            </w:r>
          </w:p>
        </w:tc>
        <w:tc>
          <w:tcPr>
            <w:tcW w:w="398" w:type="dxa"/>
          </w:tcPr>
          <w:p>
            <w:pPr>
              <w:pStyle w:val="TableParagraph"/>
              <w:ind w:right="36"/>
              <w:jc w:val="right"/>
              <w:rPr>
                <w:sz w:val="11"/>
              </w:rPr>
            </w:pPr>
            <w:r>
              <w:rPr>
                <w:color w:val="ED2024"/>
                <w:w w:val="105"/>
                <w:sz w:val="11"/>
              </w:rPr>
              <w:t>0.46</w:t>
            </w:r>
          </w:p>
        </w:tc>
        <w:tc>
          <w:tcPr>
            <w:tcW w:w="464" w:type="dxa"/>
          </w:tcPr>
          <w:p>
            <w:pPr>
              <w:pStyle w:val="TableParagraph"/>
              <w:ind w:left="78" w:right="54"/>
              <w:jc w:val="center"/>
              <w:rPr>
                <w:sz w:val="11"/>
              </w:rPr>
            </w:pPr>
            <w:r>
              <w:rPr>
                <w:color w:val="ED2024"/>
                <w:w w:val="105"/>
                <w:sz w:val="11"/>
              </w:rPr>
              <w:t>91.00</w:t>
            </w:r>
          </w:p>
        </w:tc>
        <w:tc>
          <w:tcPr>
            <w:tcW w:w="826" w:type="dxa"/>
          </w:tcPr>
          <w:p>
            <w:pPr>
              <w:pStyle w:val="TableParagraph"/>
              <w:ind w:left="46" w:right="10"/>
              <w:jc w:val="center"/>
              <w:rPr>
                <w:sz w:val="11"/>
              </w:rPr>
            </w:pPr>
            <w:r>
              <w:rPr>
                <w:color w:val="ED2024"/>
                <w:w w:val="105"/>
                <w:sz w:val="11"/>
              </w:rPr>
              <w:t>465</w:t>
            </w:r>
          </w:p>
        </w:tc>
      </w:tr>
      <w:tr>
        <w:trPr>
          <w:trHeight w:val="146" w:hRule="atLeast"/>
        </w:trPr>
        <w:tc>
          <w:tcPr>
            <w:tcW w:w="1537" w:type="dxa"/>
          </w:tcPr>
          <w:p>
            <w:pPr>
              <w:pStyle w:val="TableParagraph"/>
              <w:ind w:left="23"/>
              <w:rPr>
                <w:sz w:val="11"/>
              </w:rPr>
            </w:pPr>
            <w:r>
              <w:rPr>
                <w:color w:val="231F20"/>
                <w:w w:val="105"/>
                <w:sz w:val="11"/>
              </w:rPr>
              <w:t>Gai</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6"/>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205.00</w:t>
            </w:r>
          </w:p>
        </w:tc>
        <w:tc>
          <w:tcPr>
            <w:tcW w:w="364" w:type="dxa"/>
          </w:tcPr>
          <w:p>
            <w:pPr>
              <w:pStyle w:val="TableParagraph"/>
              <w:ind w:right="16"/>
              <w:jc w:val="right"/>
              <w:rPr>
                <w:sz w:val="11"/>
              </w:rPr>
            </w:pPr>
            <w:r>
              <w:rPr>
                <w:color w:val="231F20"/>
                <w:w w:val="105"/>
                <w:sz w:val="11"/>
              </w:rPr>
              <w:t>1.4</w:t>
            </w:r>
          </w:p>
        </w:tc>
        <w:tc>
          <w:tcPr>
            <w:tcW w:w="426" w:type="dxa"/>
          </w:tcPr>
          <w:p>
            <w:pPr>
              <w:pStyle w:val="TableParagraph"/>
              <w:ind w:right="59"/>
              <w:jc w:val="right"/>
              <w:rPr>
                <w:sz w:val="11"/>
              </w:rPr>
            </w:pPr>
            <w:r>
              <w:rPr>
                <w:color w:val="231F20"/>
                <w:w w:val="105"/>
                <w:sz w:val="11"/>
              </w:rPr>
              <w:t>0.06</w:t>
            </w:r>
          </w:p>
        </w:tc>
        <w:tc>
          <w:tcPr>
            <w:tcW w:w="357" w:type="dxa"/>
          </w:tcPr>
          <w:p>
            <w:pPr>
              <w:pStyle w:val="TableParagraph"/>
              <w:ind w:right="59"/>
              <w:jc w:val="right"/>
              <w:rPr>
                <w:sz w:val="11"/>
              </w:rPr>
            </w:pPr>
            <w:r>
              <w:rPr>
                <w:color w:val="231F20"/>
                <w:w w:val="105"/>
                <w:sz w:val="11"/>
              </w:rPr>
              <w:t>0.5</w:t>
            </w:r>
          </w:p>
        </w:tc>
        <w:tc>
          <w:tcPr>
            <w:tcW w:w="398" w:type="dxa"/>
          </w:tcPr>
          <w:p>
            <w:pPr>
              <w:pStyle w:val="TableParagraph"/>
              <w:ind w:right="36"/>
              <w:jc w:val="right"/>
              <w:rPr>
                <w:sz w:val="11"/>
              </w:rPr>
            </w:pPr>
            <w:r>
              <w:rPr>
                <w:color w:val="231F20"/>
                <w:w w:val="105"/>
                <w:sz w:val="11"/>
              </w:rPr>
              <w:t>1.10</w:t>
            </w:r>
          </w:p>
        </w:tc>
        <w:tc>
          <w:tcPr>
            <w:tcW w:w="464" w:type="dxa"/>
          </w:tcPr>
          <w:p>
            <w:pPr>
              <w:pStyle w:val="TableParagraph"/>
              <w:ind w:left="144" w:right="54"/>
              <w:jc w:val="center"/>
              <w:rPr>
                <w:sz w:val="11"/>
              </w:rPr>
            </w:pPr>
            <w:r>
              <w:rPr>
                <w:color w:val="231F20"/>
                <w:w w:val="105"/>
                <w:sz w:val="11"/>
              </w:rPr>
              <w:t>7.90</w:t>
            </w:r>
          </w:p>
        </w:tc>
        <w:tc>
          <w:tcPr>
            <w:tcW w:w="826" w:type="dxa"/>
          </w:tcPr>
          <w:p>
            <w:pPr>
              <w:pStyle w:val="TableParagraph"/>
              <w:ind w:left="46" w:right="10"/>
              <w:jc w:val="center"/>
              <w:rPr>
                <w:sz w:val="11"/>
              </w:rPr>
            </w:pPr>
            <w:r>
              <w:rPr>
                <w:color w:val="231F20"/>
                <w:w w:val="105"/>
                <w:sz w:val="11"/>
              </w:rPr>
              <w:t>395</w:t>
            </w:r>
          </w:p>
        </w:tc>
      </w:tr>
      <w:tr>
        <w:trPr>
          <w:trHeight w:val="146" w:hRule="atLeast"/>
        </w:trPr>
        <w:tc>
          <w:tcPr>
            <w:tcW w:w="1537" w:type="dxa"/>
          </w:tcPr>
          <w:p>
            <w:pPr>
              <w:pStyle w:val="TableParagraph"/>
              <w:spacing w:line="115" w:lineRule="exact"/>
              <w:ind w:left="23"/>
              <w:rPr>
                <w:sz w:val="11"/>
              </w:rPr>
            </w:pPr>
            <w:r>
              <w:rPr>
                <w:color w:val="231F20"/>
                <w:w w:val="105"/>
                <w:sz w:val="11"/>
              </w:rPr>
              <w:t>La Zarza</w:t>
            </w:r>
          </w:p>
        </w:tc>
        <w:tc>
          <w:tcPr>
            <w:tcW w:w="860" w:type="dxa"/>
          </w:tcPr>
          <w:p>
            <w:pPr>
              <w:pStyle w:val="TableParagraph"/>
              <w:spacing w:line="115" w:lineRule="exact"/>
              <w:ind w:left="114"/>
              <w:rPr>
                <w:sz w:val="11"/>
              </w:rPr>
            </w:pPr>
            <w:r>
              <w:rPr>
                <w:color w:val="231F20"/>
                <w:w w:val="105"/>
                <w:sz w:val="11"/>
              </w:rPr>
              <w:t>Spain</w:t>
            </w:r>
          </w:p>
        </w:tc>
        <w:tc>
          <w:tcPr>
            <w:tcW w:w="1652" w:type="dxa"/>
          </w:tcPr>
          <w:p>
            <w:pPr>
              <w:pStyle w:val="TableParagraph"/>
              <w:spacing w:line="115" w:lineRule="exact"/>
              <w:ind w:left="106"/>
              <w:rPr>
                <w:sz w:val="11"/>
              </w:rPr>
            </w:pPr>
            <w:r>
              <w:rPr>
                <w:color w:val="231F20"/>
                <w:w w:val="105"/>
                <w:sz w:val="11"/>
              </w:rPr>
              <w:t>Hercynian</w:t>
            </w:r>
          </w:p>
        </w:tc>
        <w:tc>
          <w:tcPr>
            <w:tcW w:w="910" w:type="dxa"/>
          </w:tcPr>
          <w:p>
            <w:pPr>
              <w:pStyle w:val="TableParagraph"/>
              <w:spacing w:line="115" w:lineRule="exact"/>
              <w:ind w:right="176"/>
              <w:jc w:val="right"/>
              <w:rPr>
                <w:sz w:val="11"/>
              </w:rPr>
            </w:pPr>
            <w:r>
              <w:rPr>
                <w:color w:val="231F20"/>
                <w:w w:val="105"/>
                <w:sz w:val="11"/>
              </w:rPr>
              <w:t>164.00</w:t>
            </w:r>
          </w:p>
        </w:tc>
        <w:tc>
          <w:tcPr>
            <w:tcW w:w="364" w:type="dxa"/>
          </w:tcPr>
          <w:p>
            <w:pPr>
              <w:pStyle w:val="TableParagraph"/>
              <w:spacing w:line="115" w:lineRule="exact"/>
              <w:ind w:right="16"/>
              <w:jc w:val="right"/>
              <w:rPr>
                <w:sz w:val="11"/>
              </w:rPr>
            </w:pPr>
            <w:r>
              <w:rPr>
                <w:color w:val="231F20"/>
                <w:w w:val="105"/>
                <w:sz w:val="11"/>
              </w:rPr>
              <w:t>1.2</w:t>
            </w:r>
          </w:p>
        </w:tc>
        <w:tc>
          <w:tcPr>
            <w:tcW w:w="426" w:type="dxa"/>
          </w:tcPr>
          <w:p>
            <w:pPr>
              <w:pStyle w:val="TableParagraph"/>
              <w:spacing w:line="115" w:lineRule="exact"/>
              <w:ind w:right="58"/>
              <w:jc w:val="right"/>
              <w:rPr>
                <w:sz w:val="11"/>
              </w:rPr>
            </w:pPr>
            <w:r>
              <w:rPr>
                <w:color w:val="231F20"/>
                <w:w w:val="105"/>
                <w:sz w:val="11"/>
              </w:rPr>
              <w:t>1.1</w:t>
            </w:r>
          </w:p>
        </w:tc>
        <w:tc>
          <w:tcPr>
            <w:tcW w:w="357" w:type="dxa"/>
          </w:tcPr>
          <w:p>
            <w:pPr>
              <w:pStyle w:val="TableParagraph"/>
              <w:spacing w:line="115" w:lineRule="exact"/>
              <w:ind w:right="59"/>
              <w:jc w:val="right"/>
              <w:rPr>
                <w:sz w:val="11"/>
              </w:rPr>
            </w:pPr>
            <w:r>
              <w:rPr>
                <w:color w:val="231F20"/>
                <w:w w:val="105"/>
                <w:sz w:val="11"/>
              </w:rPr>
              <w:t>2.5</w:t>
            </w:r>
          </w:p>
        </w:tc>
        <w:tc>
          <w:tcPr>
            <w:tcW w:w="398" w:type="dxa"/>
          </w:tcPr>
          <w:p>
            <w:pPr>
              <w:pStyle w:val="TableParagraph"/>
              <w:spacing w:line="115" w:lineRule="exact"/>
              <w:ind w:right="36"/>
              <w:jc w:val="right"/>
              <w:rPr>
                <w:sz w:val="11"/>
              </w:rPr>
            </w:pPr>
            <w:r>
              <w:rPr>
                <w:color w:val="231F20"/>
                <w:w w:val="105"/>
                <w:sz w:val="11"/>
              </w:rPr>
              <w:t>1.80</w:t>
            </w:r>
          </w:p>
        </w:tc>
        <w:tc>
          <w:tcPr>
            <w:tcW w:w="464" w:type="dxa"/>
          </w:tcPr>
          <w:p>
            <w:pPr>
              <w:pStyle w:val="TableParagraph"/>
              <w:spacing w:line="115" w:lineRule="exact"/>
              <w:ind w:left="78" w:right="54"/>
              <w:jc w:val="center"/>
              <w:rPr>
                <w:sz w:val="11"/>
              </w:rPr>
            </w:pPr>
            <w:r>
              <w:rPr>
                <w:color w:val="231F20"/>
                <w:w w:val="105"/>
                <w:sz w:val="11"/>
              </w:rPr>
              <w:t>47.00</w:t>
            </w:r>
          </w:p>
        </w:tc>
        <w:tc>
          <w:tcPr>
            <w:tcW w:w="826" w:type="dxa"/>
          </w:tcPr>
          <w:p>
            <w:pPr>
              <w:pStyle w:val="TableParagraph"/>
              <w:spacing w:line="115" w:lineRule="exact"/>
              <w:ind w:left="46" w:right="10"/>
              <w:jc w:val="center"/>
              <w:rPr>
                <w:sz w:val="11"/>
              </w:rPr>
            </w:pPr>
            <w:r>
              <w:rPr>
                <w:color w:val="231F20"/>
                <w:w w:val="105"/>
                <w:sz w:val="11"/>
              </w:rPr>
              <w:t>320</w:t>
            </w:r>
          </w:p>
        </w:tc>
      </w:tr>
      <w:tr>
        <w:trPr>
          <w:trHeight w:val="156" w:hRule="atLeast"/>
        </w:trPr>
        <w:tc>
          <w:tcPr>
            <w:tcW w:w="1537" w:type="dxa"/>
            <w:tcBorders>
              <w:bottom w:val="single" w:sz="4" w:space="0" w:color="231F20"/>
            </w:tcBorders>
          </w:tcPr>
          <w:p>
            <w:pPr>
              <w:pStyle w:val="TableParagraph"/>
              <w:spacing w:line="126" w:lineRule="exact" w:before="11"/>
              <w:ind w:left="23"/>
              <w:rPr>
                <w:sz w:val="11"/>
              </w:rPr>
            </w:pPr>
            <w:r>
              <w:rPr>
                <w:color w:val="231F20"/>
                <w:w w:val="105"/>
                <w:sz w:val="11"/>
              </w:rPr>
              <w:t>Ducktown</w:t>
            </w:r>
          </w:p>
        </w:tc>
        <w:tc>
          <w:tcPr>
            <w:tcW w:w="860" w:type="dxa"/>
            <w:tcBorders>
              <w:bottom w:val="single" w:sz="4" w:space="0" w:color="231F20"/>
            </w:tcBorders>
          </w:tcPr>
          <w:p>
            <w:pPr>
              <w:pStyle w:val="TableParagraph"/>
              <w:spacing w:line="126" w:lineRule="exact"/>
              <w:ind w:left="114"/>
              <w:rPr>
                <w:sz w:val="11"/>
              </w:rPr>
            </w:pPr>
            <w:r>
              <w:rPr>
                <w:color w:val="231F20"/>
                <w:w w:val="105"/>
                <w:sz w:val="11"/>
              </w:rPr>
              <w:t>USA</w:t>
            </w:r>
          </w:p>
        </w:tc>
        <w:tc>
          <w:tcPr>
            <w:tcW w:w="1652" w:type="dxa"/>
            <w:tcBorders>
              <w:bottom w:val="single" w:sz="4" w:space="0" w:color="231F20"/>
            </w:tcBorders>
          </w:tcPr>
          <w:p>
            <w:pPr>
              <w:pStyle w:val="TableParagraph"/>
              <w:spacing w:line="126" w:lineRule="exact"/>
              <w:ind w:left="105"/>
              <w:rPr>
                <w:sz w:val="11"/>
              </w:rPr>
            </w:pPr>
            <w:r>
              <w:rPr>
                <w:color w:val="231F20"/>
                <w:w w:val="105"/>
                <w:sz w:val="11"/>
              </w:rPr>
              <w:t>Grenvillean? (Oecee)</w:t>
            </w:r>
          </w:p>
        </w:tc>
        <w:tc>
          <w:tcPr>
            <w:tcW w:w="910" w:type="dxa"/>
            <w:tcBorders>
              <w:bottom w:val="single" w:sz="4" w:space="0" w:color="231F20"/>
            </w:tcBorders>
          </w:tcPr>
          <w:p>
            <w:pPr>
              <w:pStyle w:val="TableParagraph"/>
              <w:spacing w:line="126" w:lineRule="exact"/>
              <w:ind w:right="177"/>
              <w:jc w:val="right"/>
              <w:rPr>
                <w:sz w:val="11"/>
              </w:rPr>
            </w:pPr>
            <w:r>
              <w:rPr>
                <w:color w:val="231F20"/>
                <w:w w:val="105"/>
                <w:sz w:val="11"/>
              </w:rPr>
              <w:t>163.34</w:t>
            </w:r>
          </w:p>
        </w:tc>
        <w:tc>
          <w:tcPr>
            <w:tcW w:w="364" w:type="dxa"/>
            <w:tcBorders>
              <w:bottom w:val="single" w:sz="4" w:space="0" w:color="231F20"/>
            </w:tcBorders>
          </w:tcPr>
          <w:p>
            <w:pPr>
              <w:pStyle w:val="TableParagraph"/>
              <w:spacing w:line="126" w:lineRule="exact"/>
              <w:ind w:right="16"/>
              <w:jc w:val="right"/>
              <w:rPr>
                <w:sz w:val="11"/>
              </w:rPr>
            </w:pPr>
            <w:r>
              <w:rPr>
                <w:color w:val="231F20"/>
                <w:w w:val="106"/>
                <w:sz w:val="11"/>
              </w:rPr>
              <w:t>1</w:t>
            </w:r>
          </w:p>
        </w:tc>
        <w:tc>
          <w:tcPr>
            <w:tcW w:w="426" w:type="dxa"/>
            <w:tcBorders>
              <w:bottom w:val="single" w:sz="4" w:space="0" w:color="231F20"/>
            </w:tcBorders>
          </w:tcPr>
          <w:p>
            <w:pPr>
              <w:pStyle w:val="TableParagraph"/>
              <w:spacing w:line="240" w:lineRule="auto" w:before="0"/>
              <w:rPr>
                <w:rFonts w:ascii="Times New Roman"/>
                <w:sz w:val="10"/>
              </w:rPr>
            </w:pPr>
          </w:p>
        </w:tc>
        <w:tc>
          <w:tcPr>
            <w:tcW w:w="357" w:type="dxa"/>
            <w:tcBorders>
              <w:bottom w:val="single" w:sz="4" w:space="0" w:color="231F20"/>
            </w:tcBorders>
          </w:tcPr>
          <w:p>
            <w:pPr>
              <w:pStyle w:val="TableParagraph"/>
              <w:spacing w:line="126" w:lineRule="exact"/>
              <w:ind w:right="60"/>
              <w:jc w:val="right"/>
              <w:rPr>
                <w:sz w:val="11"/>
              </w:rPr>
            </w:pPr>
            <w:r>
              <w:rPr>
                <w:color w:val="231F20"/>
                <w:w w:val="105"/>
                <w:sz w:val="11"/>
              </w:rPr>
              <w:t>0.9</w:t>
            </w:r>
          </w:p>
        </w:tc>
        <w:tc>
          <w:tcPr>
            <w:tcW w:w="398" w:type="dxa"/>
            <w:tcBorders>
              <w:bottom w:val="single" w:sz="4" w:space="0" w:color="231F20"/>
            </w:tcBorders>
          </w:tcPr>
          <w:p>
            <w:pPr>
              <w:pStyle w:val="TableParagraph"/>
              <w:spacing w:line="126" w:lineRule="exact"/>
              <w:ind w:right="37"/>
              <w:jc w:val="right"/>
              <w:rPr>
                <w:sz w:val="11"/>
              </w:rPr>
            </w:pPr>
            <w:r>
              <w:rPr>
                <w:color w:val="231F20"/>
                <w:w w:val="105"/>
                <w:sz w:val="11"/>
              </w:rPr>
              <w:t>0.30</w:t>
            </w:r>
          </w:p>
        </w:tc>
        <w:tc>
          <w:tcPr>
            <w:tcW w:w="464" w:type="dxa"/>
            <w:tcBorders>
              <w:bottom w:val="single" w:sz="4" w:space="0" w:color="231F20"/>
            </w:tcBorders>
          </w:tcPr>
          <w:p>
            <w:pPr>
              <w:pStyle w:val="TableParagraph"/>
              <w:spacing w:line="126" w:lineRule="exact"/>
              <w:ind w:left="143" w:right="54"/>
              <w:jc w:val="center"/>
              <w:rPr>
                <w:sz w:val="11"/>
              </w:rPr>
            </w:pPr>
            <w:r>
              <w:rPr>
                <w:color w:val="231F20"/>
                <w:w w:val="105"/>
                <w:sz w:val="11"/>
              </w:rPr>
              <w:t>3.00</w:t>
            </w:r>
          </w:p>
        </w:tc>
        <w:tc>
          <w:tcPr>
            <w:tcW w:w="826" w:type="dxa"/>
            <w:tcBorders>
              <w:bottom w:val="single" w:sz="4" w:space="0" w:color="231F20"/>
            </w:tcBorders>
          </w:tcPr>
          <w:p>
            <w:pPr>
              <w:pStyle w:val="TableParagraph"/>
              <w:spacing w:line="126" w:lineRule="exact"/>
              <w:ind w:left="45" w:right="10"/>
              <w:jc w:val="center"/>
              <w:rPr>
                <w:sz w:val="11"/>
              </w:rPr>
            </w:pPr>
            <w:r>
              <w:rPr>
                <w:color w:val="231F20"/>
                <w:w w:val="105"/>
                <w:sz w:val="11"/>
              </w:rPr>
              <w:t>1000</w:t>
            </w:r>
          </w:p>
        </w:tc>
      </w:tr>
      <w:tr>
        <w:trPr>
          <w:trHeight w:val="271" w:hRule="atLeast"/>
        </w:trPr>
        <w:tc>
          <w:tcPr>
            <w:tcW w:w="1537" w:type="dxa"/>
            <w:tcBorders>
              <w:top w:val="single" w:sz="4" w:space="0" w:color="231F20"/>
            </w:tcBorders>
          </w:tcPr>
          <w:p>
            <w:pPr>
              <w:pStyle w:val="TableParagraph"/>
              <w:spacing w:line="126" w:lineRule="exact"/>
              <w:ind w:left="22"/>
              <w:rPr>
                <w:b/>
                <w:sz w:val="11"/>
              </w:rPr>
            </w:pPr>
            <w:r>
              <w:rPr>
                <w:b/>
                <w:color w:val="231F20"/>
                <w:w w:val="105"/>
                <w:sz w:val="11"/>
              </w:rPr>
              <w:t>GIANT</w:t>
            </w:r>
          </w:p>
          <w:p>
            <w:pPr>
              <w:pStyle w:val="TableParagraph"/>
              <w:spacing w:line="115" w:lineRule="exact" w:before="0"/>
              <w:ind w:left="22"/>
              <w:rPr>
                <w:sz w:val="11"/>
              </w:rPr>
            </w:pPr>
            <w:r>
              <w:rPr>
                <w:color w:val="ED2024"/>
                <w:w w:val="105"/>
                <w:sz w:val="11"/>
              </w:rPr>
              <w:t>Kidd Creek</w:t>
            </w:r>
          </w:p>
        </w:tc>
        <w:tc>
          <w:tcPr>
            <w:tcW w:w="860" w:type="dxa"/>
            <w:tcBorders>
              <w:top w:val="single" w:sz="4" w:space="0" w:color="231F20"/>
            </w:tcBorders>
          </w:tcPr>
          <w:p>
            <w:pPr>
              <w:pStyle w:val="TableParagraph"/>
              <w:spacing w:line="240" w:lineRule="auto" w:before="9"/>
              <w:rPr>
                <w:rFonts w:ascii="Times New Roman"/>
                <w:sz w:val="11"/>
              </w:rPr>
            </w:pPr>
          </w:p>
          <w:p>
            <w:pPr>
              <w:pStyle w:val="TableParagraph"/>
              <w:spacing w:before="1"/>
              <w:ind w:left="114"/>
              <w:rPr>
                <w:sz w:val="11"/>
              </w:rPr>
            </w:pPr>
            <w:r>
              <w:rPr>
                <w:color w:val="ED2024"/>
                <w:w w:val="105"/>
                <w:sz w:val="11"/>
              </w:rPr>
              <w:t>Canada</w:t>
            </w:r>
          </w:p>
        </w:tc>
        <w:tc>
          <w:tcPr>
            <w:tcW w:w="1652" w:type="dxa"/>
            <w:tcBorders>
              <w:top w:val="single" w:sz="4" w:space="0" w:color="231F20"/>
            </w:tcBorders>
          </w:tcPr>
          <w:p>
            <w:pPr>
              <w:pStyle w:val="TableParagraph"/>
              <w:spacing w:line="240" w:lineRule="auto" w:before="9"/>
              <w:rPr>
                <w:rFonts w:ascii="Times New Roman"/>
                <w:sz w:val="11"/>
              </w:rPr>
            </w:pPr>
          </w:p>
          <w:p>
            <w:pPr>
              <w:pStyle w:val="TableParagraph"/>
              <w:spacing w:before="1"/>
              <w:ind w:left="105"/>
              <w:rPr>
                <w:sz w:val="11"/>
              </w:rPr>
            </w:pPr>
            <w:r>
              <w:rPr>
                <w:color w:val="ED2024"/>
                <w:w w:val="105"/>
                <w:sz w:val="11"/>
              </w:rPr>
              <w:t>Abitibi (Kenoran)</w:t>
            </w:r>
          </w:p>
        </w:tc>
        <w:tc>
          <w:tcPr>
            <w:tcW w:w="910"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77"/>
              <w:jc w:val="right"/>
              <w:rPr>
                <w:sz w:val="11"/>
              </w:rPr>
            </w:pPr>
            <w:r>
              <w:rPr>
                <w:color w:val="ED2024"/>
                <w:w w:val="105"/>
                <w:sz w:val="11"/>
              </w:rPr>
              <w:t>147.88</w:t>
            </w:r>
          </w:p>
        </w:tc>
        <w:tc>
          <w:tcPr>
            <w:tcW w:w="364"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6"/>
              <w:jc w:val="right"/>
              <w:rPr>
                <w:sz w:val="11"/>
              </w:rPr>
            </w:pPr>
            <w:r>
              <w:rPr>
                <w:color w:val="ED2024"/>
                <w:w w:val="105"/>
                <w:sz w:val="11"/>
              </w:rPr>
              <w:t>2.31</w:t>
            </w:r>
          </w:p>
        </w:tc>
        <w:tc>
          <w:tcPr>
            <w:tcW w:w="426" w:type="dxa"/>
            <w:tcBorders>
              <w:top w:val="single" w:sz="4" w:space="0" w:color="231F20"/>
            </w:tcBorders>
          </w:tcPr>
          <w:p>
            <w:pPr>
              <w:pStyle w:val="TableParagraph"/>
              <w:spacing w:line="240" w:lineRule="auto" w:before="9"/>
              <w:rPr>
                <w:rFonts w:ascii="Times New Roman"/>
                <w:sz w:val="11"/>
              </w:rPr>
            </w:pPr>
          </w:p>
          <w:p>
            <w:pPr>
              <w:pStyle w:val="TableParagraph"/>
              <w:spacing w:before="1"/>
              <w:ind w:right="59"/>
              <w:jc w:val="right"/>
              <w:rPr>
                <w:sz w:val="11"/>
              </w:rPr>
            </w:pPr>
            <w:r>
              <w:rPr>
                <w:color w:val="ED2024"/>
                <w:w w:val="105"/>
                <w:sz w:val="11"/>
              </w:rPr>
              <w:t>0.22</w:t>
            </w:r>
          </w:p>
        </w:tc>
        <w:tc>
          <w:tcPr>
            <w:tcW w:w="357" w:type="dxa"/>
            <w:tcBorders>
              <w:top w:val="single" w:sz="4" w:space="0" w:color="231F20"/>
            </w:tcBorders>
          </w:tcPr>
          <w:p>
            <w:pPr>
              <w:pStyle w:val="TableParagraph"/>
              <w:spacing w:line="240" w:lineRule="auto" w:before="9"/>
              <w:rPr>
                <w:rFonts w:ascii="Times New Roman"/>
                <w:sz w:val="11"/>
              </w:rPr>
            </w:pPr>
          </w:p>
          <w:p>
            <w:pPr>
              <w:pStyle w:val="TableParagraph"/>
              <w:spacing w:before="1"/>
              <w:ind w:right="60"/>
              <w:jc w:val="right"/>
              <w:rPr>
                <w:sz w:val="11"/>
              </w:rPr>
            </w:pPr>
            <w:r>
              <w:rPr>
                <w:color w:val="ED2024"/>
                <w:w w:val="105"/>
                <w:sz w:val="11"/>
              </w:rPr>
              <w:t>6.18</w:t>
            </w:r>
          </w:p>
        </w:tc>
        <w:tc>
          <w:tcPr>
            <w:tcW w:w="398" w:type="dxa"/>
            <w:tcBorders>
              <w:top w:val="single" w:sz="4" w:space="0" w:color="231F20"/>
            </w:tcBorders>
          </w:tcPr>
          <w:p>
            <w:pPr>
              <w:pStyle w:val="TableParagraph"/>
              <w:spacing w:line="240" w:lineRule="auto" w:before="9"/>
              <w:rPr>
                <w:rFonts w:ascii="Times New Roman"/>
                <w:sz w:val="11"/>
              </w:rPr>
            </w:pPr>
          </w:p>
          <w:p>
            <w:pPr>
              <w:pStyle w:val="TableParagraph"/>
              <w:spacing w:before="1"/>
              <w:ind w:right="37"/>
              <w:jc w:val="right"/>
              <w:rPr>
                <w:sz w:val="11"/>
              </w:rPr>
            </w:pPr>
            <w:r>
              <w:rPr>
                <w:color w:val="ED2024"/>
                <w:w w:val="105"/>
                <w:sz w:val="11"/>
              </w:rPr>
              <w:t>0.01</w:t>
            </w:r>
          </w:p>
        </w:tc>
        <w:tc>
          <w:tcPr>
            <w:tcW w:w="464" w:type="dxa"/>
            <w:tcBorders>
              <w:top w:val="single" w:sz="4" w:space="0" w:color="231F20"/>
            </w:tcBorders>
          </w:tcPr>
          <w:p>
            <w:pPr>
              <w:pStyle w:val="TableParagraph"/>
              <w:spacing w:line="240" w:lineRule="auto" w:before="9"/>
              <w:rPr>
                <w:rFonts w:ascii="Times New Roman"/>
                <w:sz w:val="11"/>
              </w:rPr>
            </w:pPr>
          </w:p>
          <w:p>
            <w:pPr>
              <w:pStyle w:val="TableParagraph"/>
              <w:spacing w:before="1"/>
              <w:ind w:left="77" w:right="54"/>
              <w:jc w:val="center"/>
              <w:rPr>
                <w:sz w:val="11"/>
              </w:rPr>
            </w:pPr>
            <w:r>
              <w:rPr>
                <w:color w:val="ED2024"/>
                <w:w w:val="105"/>
                <w:sz w:val="11"/>
              </w:rPr>
              <w:t>87.00</w:t>
            </w:r>
          </w:p>
        </w:tc>
        <w:tc>
          <w:tcPr>
            <w:tcW w:w="826" w:type="dxa"/>
            <w:tcBorders>
              <w:top w:val="single" w:sz="4" w:space="0" w:color="231F20"/>
            </w:tcBorders>
          </w:tcPr>
          <w:p>
            <w:pPr>
              <w:pStyle w:val="TableParagraph"/>
              <w:spacing w:line="240" w:lineRule="auto" w:before="9"/>
              <w:rPr>
                <w:rFonts w:ascii="Times New Roman"/>
                <w:sz w:val="11"/>
              </w:rPr>
            </w:pPr>
          </w:p>
          <w:p>
            <w:pPr>
              <w:pStyle w:val="TableParagraph"/>
              <w:spacing w:before="1"/>
              <w:ind w:left="45" w:right="10"/>
              <w:jc w:val="center"/>
              <w:rPr>
                <w:sz w:val="11"/>
              </w:rPr>
            </w:pPr>
            <w:r>
              <w:rPr>
                <w:color w:val="ED2024"/>
                <w:w w:val="105"/>
                <w:sz w:val="11"/>
              </w:rPr>
              <w:t>2714</w:t>
            </w:r>
          </w:p>
        </w:tc>
      </w:tr>
      <w:tr>
        <w:trPr>
          <w:trHeight w:val="146" w:hRule="atLeast"/>
        </w:trPr>
        <w:tc>
          <w:tcPr>
            <w:tcW w:w="1537" w:type="dxa"/>
          </w:tcPr>
          <w:p>
            <w:pPr>
              <w:pStyle w:val="TableParagraph"/>
              <w:ind w:left="22"/>
              <w:rPr>
                <w:sz w:val="11"/>
              </w:rPr>
            </w:pPr>
            <w:r>
              <w:rPr>
                <w:color w:val="ED2024"/>
                <w:w w:val="105"/>
                <w:sz w:val="11"/>
              </w:rPr>
              <w:t>Horne - No. 5 Zone</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Abitibi (Kenoran)</w:t>
            </w:r>
          </w:p>
        </w:tc>
        <w:tc>
          <w:tcPr>
            <w:tcW w:w="910" w:type="dxa"/>
          </w:tcPr>
          <w:p>
            <w:pPr>
              <w:pStyle w:val="TableParagraph"/>
              <w:ind w:right="177"/>
              <w:jc w:val="right"/>
              <w:rPr>
                <w:sz w:val="11"/>
              </w:rPr>
            </w:pPr>
            <w:r>
              <w:rPr>
                <w:color w:val="ED2024"/>
                <w:w w:val="105"/>
                <w:sz w:val="11"/>
              </w:rPr>
              <w:t>144.00</w:t>
            </w:r>
          </w:p>
        </w:tc>
        <w:tc>
          <w:tcPr>
            <w:tcW w:w="364" w:type="dxa"/>
          </w:tcPr>
          <w:p>
            <w:pPr>
              <w:pStyle w:val="TableParagraph"/>
              <w:ind w:right="16"/>
              <w:jc w:val="right"/>
              <w:rPr>
                <w:sz w:val="11"/>
              </w:rPr>
            </w:pPr>
            <w:r>
              <w:rPr>
                <w:color w:val="ED2024"/>
                <w:w w:val="106"/>
                <w:sz w:val="11"/>
              </w:rPr>
              <w:t>1</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ED2024"/>
                <w:w w:val="105"/>
                <w:sz w:val="11"/>
              </w:rPr>
              <w:t>0.9</w:t>
            </w:r>
          </w:p>
        </w:tc>
        <w:tc>
          <w:tcPr>
            <w:tcW w:w="398" w:type="dxa"/>
          </w:tcPr>
          <w:p>
            <w:pPr>
              <w:pStyle w:val="TableParagraph"/>
              <w:ind w:right="37"/>
              <w:jc w:val="right"/>
              <w:rPr>
                <w:sz w:val="11"/>
              </w:rPr>
            </w:pPr>
            <w:r>
              <w:rPr>
                <w:color w:val="ED2024"/>
                <w:w w:val="105"/>
                <w:sz w:val="11"/>
              </w:rPr>
              <w:t>1.40</w:t>
            </w:r>
          </w:p>
        </w:tc>
        <w:tc>
          <w:tcPr>
            <w:tcW w:w="464" w:type="dxa"/>
          </w:tcPr>
          <w:p>
            <w:pPr>
              <w:pStyle w:val="TableParagraph"/>
              <w:spacing w:line="240" w:lineRule="auto" w:before="0"/>
              <w:rPr>
                <w:rFonts w:ascii="Times New Roman"/>
                <w:sz w:val="8"/>
              </w:rPr>
            </w:pPr>
          </w:p>
        </w:tc>
        <w:tc>
          <w:tcPr>
            <w:tcW w:w="826" w:type="dxa"/>
          </w:tcPr>
          <w:p>
            <w:pPr>
              <w:pStyle w:val="TableParagraph"/>
              <w:ind w:left="45" w:right="10"/>
              <w:jc w:val="center"/>
              <w:rPr>
                <w:sz w:val="11"/>
              </w:rPr>
            </w:pPr>
            <w:r>
              <w:rPr>
                <w:color w:val="ED2024"/>
                <w:w w:val="105"/>
                <w:sz w:val="11"/>
              </w:rPr>
              <w:t>2698</w:t>
            </w:r>
          </w:p>
        </w:tc>
      </w:tr>
      <w:tr>
        <w:trPr>
          <w:trHeight w:val="146" w:hRule="atLeast"/>
        </w:trPr>
        <w:tc>
          <w:tcPr>
            <w:tcW w:w="1537" w:type="dxa"/>
          </w:tcPr>
          <w:p>
            <w:pPr>
              <w:pStyle w:val="TableParagraph"/>
              <w:ind w:left="22"/>
              <w:rPr>
                <w:sz w:val="11"/>
              </w:rPr>
            </w:pPr>
            <w:r>
              <w:rPr>
                <w:color w:val="231F20"/>
                <w:w w:val="105"/>
                <w:sz w:val="11"/>
              </w:rPr>
              <w:t>Ozernoe</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5"/>
              <w:rPr>
                <w:sz w:val="11"/>
              </w:rPr>
            </w:pPr>
            <w:r>
              <w:rPr>
                <w:color w:val="231F20"/>
                <w:w w:val="105"/>
                <w:sz w:val="11"/>
              </w:rPr>
              <w:t>Baikal-Vitim</w:t>
            </w:r>
          </w:p>
        </w:tc>
        <w:tc>
          <w:tcPr>
            <w:tcW w:w="910" w:type="dxa"/>
          </w:tcPr>
          <w:p>
            <w:pPr>
              <w:pStyle w:val="TableParagraph"/>
              <w:ind w:right="177"/>
              <w:jc w:val="right"/>
              <w:rPr>
                <w:sz w:val="11"/>
              </w:rPr>
            </w:pPr>
            <w:r>
              <w:rPr>
                <w:color w:val="231F20"/>
                <w:w w:val="105"/>
                <w:sz w:val="11"/>
              </w:rPr>
              <w:t>130.00</w:t>
            </w:r>
          </w:p>
        </w:tc>
        <w:tc>
          <w:tcPr>
            <w:tcW w:w="364" w:type="dxa"/>
          </w:tcPr>
          <w:p>
            <w:pPr>
              <w:pStyle w:val="TableParagraph"/>
              <w:ind w:right="17"/>
              <w:jc w:val="right"/>
              <w:rPr>
                <w:sz w:val="11"/>
              </w:rPr>
            </w:pPr>
            <w:r>
              <w:rPr>
                <w:color w:val="231F20"/>
                <w:w w:val="105"/>
                <w:sz w:val="11"/>
              </w:rPr>
              <w:t>0.01</w:t>
            </w:r>
          </w:p>
        </w:tc>
        <w:tc>
          <w:tcPr>
            <w:tcW w:w="426" w:type="dxa"/>
          </w:tcPr>
          <w:p>
            <w:pPr>
              <w:pStyle w:val="TableParagraph"/>
              <w:ind w:right="59"/>
              <w:jc w:val="right"/>
              <w:rPr>
                <w:sz w:val="11"/>
              </w:rPr>
            </w:pPr>
            <w:r>
              <w:rPr>
                <w:color w:val="231F20"/>
                <w:w w:val="105"/>
                <w:sz w:val="11"/>
              </w:rPr>
              <w:t>1.2</w:t>
            </w:r>
          </w:p>
        </w:tc>
        <w:tc>
          <w:tcPr>
            <w:tcW w:w="357" w:type="dxa"/>
          </w:tcPr>
          <w:p>
            <w:pPr>
              <w:pStyle w:val="TableParagraph"/>
              <w:ind w:right="60"/>
              <w:jc w:val="right"/>
              <w:rPr>
                <w:sz w:val="11"/>
              </w:rPr>
            </w:pPr>
            <w:r>
              <w:rPr>
                <w:color w:val="231F20"/>
                <w:w w:val="105"/>
                <w:sz w:val="11"/>
              </w:rPr>
              <w:t>6.2</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5" w:right="10"/>
              <w:jc w:val="center"/>
              <w:rPr>
                <w:sz w:val="11"/>
              </w:rPr>
            </w:pPr>
            <w:r>
              <w:rPr>
                <w:color w:val="231F20"/>
                <w:w w:val="105"/>
                <w:sz w:val="11"/>
              </w:rPr>
              <w:t>500</w:t>
            </w:r>
          </w:p>
        </w:tc>
      </w:tr>
      <w:tr>
        <w:trPr>
          <w:trHeight w:val="146" w:hRule="atLeast"/>
        </w:trPr>
        <w:tc>
          <w:tcPr>
            <w:tcW w:w="1537" w:type="dxa"/>
          </w:tcPr>
          <w:p>
            <w:pPr>
              <w:pStyle w:val="TableParagraph"/>
              <w:ind w:left="22"/>
              <w:rPr>
                <w:sz w:val="11"/>
              </w:rPr>
            </w:pPr>
            <w:r>
              <w:rPr>
                <w:color w:val="231F20"/>
                <w:w w:val="105"/>
                <w:sz w:val="11"/>
              </w:rPr>
              <w:t>Ridder-Sokol</w:t>
            </w:r>
          </w:p>
        </w:tc>
        <w:tc>
          <w:tcPr>
            <w:tcW w:w="860" w:type="dxa"/>
          </w:tcPr>
          <w:p>
            <w:pPr>
              <w:pStyle w:val="TableParagraph"/>
              <w:ind w:left="113"/>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125.00</w:t>
            </w:r>
          </w:p>
        </w:tc>
        <w:tc>
          <w:tcPr>
            <w:tcW w:w="364" w:type="dxa"/>
          </w:tcPr>
          <w:p>
            <w:pPr>
              <w:pStyle w:val="TableParagraph"/>
              <w:ind w:right="16"/>
              <w:jc w:val="right"/>
              <w:rPr>
                <w:sz w:val="11"/>
              </w:rPr>
            </w:pPr>
            <w:r>
              <w:rPr>
                <w:color w:val="231F20"/>
                <w:w w:val="105"/>
                <w:sz w:val="11"/>
              </w:rPr>
              <w:t>0.3</w:t>
            </w:r>
          </w:p>
        </w:tc>
        <w:tc>
          <w:tcPr>
            <w:tcW w:w="426" w:type="dxa"/>
          </w:tcPr>
          <w:p>
            <w:pPr>
              <w:pStyle w:val="TableParagraph"/>
              <w:ind w:right="58"/>
              <w:jc w:val="right"/>
              <w:rPr>
                <w:sz w:val="11"/>
              </w:rPr>
            </w:pPr>
            <w:r>
              <w:rPr>
                <w:color w:val="231F20"/>
                <w:w w:val="106"/>
                <w:sz w:val="11"/>
              </w:rPr>
              <w:t>2</w:t>
            </w:r>
          </w:p>
        </w:tc>
        <w:tc>
          <w:tcPr>
            <w:tcW w:w="357" w:type="dxa"/>
          </w:tcPr>
          <w:p>
            <w:pPr>
              <w:pStyle w:val="TableParagraph"/>
              <w:ind w:right="60"/>
              <w:jc w:val="right"/>
              <w:rPr>
                <w:sz w:val="11"/>
              </w:rPr>
            </w:pPr>
            <w:r>
              <w:rPr>
                <w:color w:val="231F20"/>
                <w:w w:val="106"/>
                <w:sz w:val="11"/>
              </w:rPr>
              <w:t>4</w:t>
            </w:r>
          </w:p>
        </w:tc>
        <w:tc>
          <w:tcPr>
            <w:tcW w:w="398" w:type="dxa"/>
          </w:tcPr>
          <w:p>
            <w:pPr>
              <w:pStyle w:val="TableParagraph"/>
              <w:ind w:right="37"/>
              <w:jc w:val="right"/>
              <w:rPr>
                <w:sz w:val="11"/>
              </w:rPr>
            </w:pPr>
            <w:r>
              <w:rPr>
                <w:color w:val="231F20"/>
                <w:w w:val="105"/>
                <w:sz w:val="11"/>
              </w:rPr>
              <w:t>2.50</w:t>
            </w:r>
          </w:p>
        </w:tc>
        <w:tc>
          <w:tcPr>
            <w:tcW w:w="464" w:type="dxa"/>
          </w:tcPr>
          <w:p>
            <w:pPr>
              <w:pStyle w:val="TableParagraph"/>
              <w:ind w:left="77" w:right="54"/>
              <w:jc w:val="center"/>
              <w:rPr>
                <w:sz w:val="11"/>
              </w:rPr>
            </w:pPr>
            <w:r>
              <w:rPr>
                <w:color w:val="231F20"/>
                <w:w w:val="105"/>
                <w:sz w:val="11"/>
              </w:rPr>
              <w:t>10.00</w:t>
            </w:r>
          </w:p>
        </w:tc>
        <w:tc>
          <w:tcPr>
            <w:tcW w:w="826" w:type="dxa"/>
          </w:tcPr>
          <w:p>
            <w:pPr>
              <w:pStyle w:val="TableParagraph"/>
              <w:ind w:left="45" w:right="10"/>
              <w:jc w:val="center"/>
              <w:rPr>
                <w:sz w:val="11"/>
              </w:rPr>
            </w:pPr>
            <w:r>
              <w:rPr>
                <w:color w:val="231F20"/>
                <w:w w:val="105"/>
                <w:sz w:val="11"/>
              </w:rPr>
              <w:t>400</w:t>
            </w:r>
          </w:p>
        </w:tc>
      </w:tr>
      <w:tr>
        <w:trPr>
          <w:trHeight w:val="146" w:hRule="atLeast"/>
        </w:trPr>
        <w:tc>
          <w:tcPr>
            <w:tcW w:w="1537" w:type="dxa"/>
          </w:tcPr>
          <w:p>
            <w:pPr>
              <w:pStyle w:val="TableParagraph"/>
              <w:ind w:left="22"/>
              <w:rPr>
                <w:sz w:val="11"/>
              </w:rPr>
            </w:pPr>
            <w:r>
              <w:rPr>
                <w:color w:val="231F20"/>
                <w:w w:val="105"/>
                <w:sz w:val="11"/>
              </w:rPr>
              <w:t>Zyryanov</w:t>
            </w:r>
          </w:p>
        </w:tc>
        <w:tc>
          <w:tcPr>
            <w:tcW w:w="860" w:type="dxa"/>
          </w:tcPr>
          <w:p>
            <w:pPr>
              <w:pStyle w:val="TableParagraph"/>
              <w:ind w:left="114"/>
              <w:rPr>
                <w:sz w:val="11"/>
              </w:rPr>
            </w:pPr>
            <w:r>
              <w:rPr>
                <w:color w:val="231F20"/>
                <w:w w:val="105"/>
                <w:sz w:val="11"/>
              </w:rPr>
              <w:t>Kazakhstan</w:t>
            </w:r>
          </w:p>
        </w:tc>
        <w:tc>
          <w:tcPr>
            <w:tcW w:w="1652" w:type="dxa"/>
          </w:tcPr>
          <w:p>
            <w:pPr>
              <w:pStyle w:val="TableParagraph"/>
              <w:ind w:left="106"/>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125.00</w:t>
            </w:r>
          </w:p>
        </w:tc>
        <w:tc>
          <w:tcPr>
            <w:tcW w:w="364" w:type="dxa"/>
          </w:tcPr>
          <w:p>
            <w:pPr>
              <w:pStyle w:val="TableParagraph"/>
              <w:ind w:right="16"/>
              <w:jc w:val="right"/>
              <w:rPr>
                <w:sz w:val="11"/>
              </w:rPr>
            </w:pPr>
            <w:r>
              <w:rPr>
                <w:color w:val="231F20"/>
                <w:w w:val="105"/>
                <w:sz w:val="11"/>
              </w:rPr>
              <w:t>0.4</w:t>
            </w:r>
          </w:p>
        </w:tc>
        <w:tc>
          <w:tcPr>
            <w:tcW w:w="426" w:type="dxa"/>
          </w:tcPr>
          <w:p>
            <w:pPr>
              <w:pStyle w:val="TableParagraph"/>
              <w:ind w:right="59"/>
              <w:jc w:val="right"/>
              <w:rPr>
                <w:sz w:val="11"/>
              </w:rPr>
            </w:pPr>
            <w:r>
              <w:rPr>
                <w:color w:val="231F20"/>
                <w:w w:val="105"/>
                <w:sz w:val="11"/>
              </w:rPr>
              <w:t>2.7</w:t>
            </w:r>
          </w:p>
        </w:tc>
        <w:tc>
          <w:tcPr>
            <w:tcW w:w="357" w:type="dxa"/>
          </w:tcPr>
          <w:p>
            <w:pPr>
              <w:pStyle w:val="TableParagraph"/>
              <w:ind w:right="60"/>
              <w:jc w:val="right"/>
              <w:rPr>
                <w:sz w:val="11"/>
              </w:rPr>
            </w:pPr>
            <w:r>
              <w:rPr>
                <w:color w:val="231F20"/>
                <w:w w:val="105"/>
                <w:sz w:val="11"/>
              </w:rPr>
              <w:t>4.5</w:t>
            </w:r>
          </w:p>
        </w:tc>
        <w:tc>
          <w:tcPr>
            <w:tcW w:w="398" w:type="dxa"/>
          </w:tcPr>
          <w:p>
            <w:pPr>
              <w:pStyle w:val="TableParagraph"/>
              <w:ind w:right="37"/>
              <w:jc w:val="right"/>
              <w:rPr>
                <w:sz w:val="11"/>
              </w:rPr>
            </w:pPr>
            <w:r>
              <w:rPr>
                <w:color w:val="231F20"/>
                <w:w w:val="105"/>
                <w:sz w:val="11"/>
              </w:rPr>
              <w:t>0.13</w:t>
            </w:r>
          </w:p>
        </w:tc>
        <w:tc>
          <w:tcPr>
            <w:tcW w:w="464" w:type="dxa"/>
          </w:tcPr>
          <w:p>
            <w:pPr>
              <w:pStyle w:val="TableParagraph"/>
              <w:ind w:left="77" w:right="54"/>
              <w:jc w:val="center"/>
              <w:rPr>
                <w:sz w:val="11"/>
              </w:rPr>
            </w:pPr>
            <w:r>
              <w:rPr>
                <w:color w:val="231F20"/>
                <w:w w:val="105"/>
                <w:sz w:val="11"/>
              </w:rPr>
              <w:t>20.00</w:t>
            </w:r>
          </w:p>
        </w:tc>
        <w:tc>
          <w:tcPr>
            <w:tcW w:w="826" w:type="dxa"/>
          </w:tcPr>
          <w:p>
            <w:pPr>
              <w:pStyle w:val="TableParagraph"/>
              <w:ind w:left="45" w:right="10"/>
              <w:jc w:val="center"/>
              <w:rPr>
                <w:sz w:val="11"/>
              </w:rPr>
            </w:pPr>
            <w:r>
              <w:rPr>
                <w:color w:val="231F20"/>
                <w:w w:val="105"/>
                <w:sz w:val="11"/>
              </w:rPr>
              <w:t>395</w:t>
            </w:r>
          </w:p>
        </w:tc>
      </w:tr>
      <w:tr>
        <w:trPr>
          <w:trHeight w:val="146" w:hRule="atLeast"/>
        </w:trPr>
        <w:tc>
          <w:tcPr>
            <w:tcW w:w="1537" w:type="dxa"/>
          </w:tcPr>
          <w:p>
            <w:pPr>
              <w:pStyle w:val="TableParagraph"/>
              <w:ind w:left="22"/>
              <w:rPr>
                <w:sz w:val="11"/>
              </w:rPr>
            </w:pPr>
            <w:r>
              <w:rPr>
                <w:color w:val="231F20"/>
                <w:w w:val="105"/>
                <w:sz w:val="11"/>
              </w:rPr>
              <w:t>Gacun</w:t>
            </w:r>
          </w:p>
        </w:tc>
        <w:tc>
          <w:tcPr>
            <w:tcW w:w="860" w:type="dxa"/>
          </w:tcPr>
          <w:p>
            <w:pPr>
              <w:pStyle w:val="TableParagraph"/>
              <w:ind w:left="114"/>
              <w:rPr>
                <w:sz w:val="11"/>
              </w:rPr>
            </w:pPr>
            <w:r>
              <w:rPr>
                <w:color w:val="231F20"/>
                <w:w w:val="105"/>
                <w:sz w:val="11"/>
              </w:rPr>
              <w:t>China</w:t>
            </w:r>
          </w:p>
        </w:tc>
        <w:tc>
          <w:tcPr>
            <w:tcW w:w="1652" w:type="dxa"/>
          </w:tcPr>
          <w:p>
            <w:pPr>
              <w:pStyle w:val="TableParagraph"/>
              <w:ind w:left="105"/>
              <w:rPr>
                <w:sz w:val="11"/>
              </w:rPr>
            </w:pPr>
            <w:r>
              <w:rPr>
                <w:color w:val="231F20"/>
                <w:w w:val="105"/>
                <w:sz w:val="11"/>
              </w:rPr>
              <w:t>Yidun, Indosinian (Tethyan)</w:t>
            </w:r>
          </w:p>
        </w:tc>
        <w:tc>
          <w:tcPr>
            <w:tcW w:w="910" w:type="dxa"/>
          </w:tcPr>
          <w:p>
            <w:pPr>
              <w:pStyle w:val="TableParagraph"/>
              <w:ind w:right="177"/>
              <w:jc w:val="right"/>
              <w:rPr>
                <w:sz w:val="11"/>
              </w:rPr>
            </w:pPr>
            <w:r>
              <w:rPr>
                <w:color w:val="231F20"/>
                <w:w w:val="105"/>
                <w:sz w:val="11"/>
              </w:rPr>
              <w:t>124.00</w:t>
            </w:r>
          </w:p>
        </w:tc>
        <w:tc>
          <w:tcPr>
            <w:tcW w:w="364" w:type="dxa"/>
          </w:tcPr>
          <w:p>
            <w:pPr>
              <w:pStyle w:val="TableParagraph"/>
              <w:ind w:right="17"/>
              <w:jc w:val="right"/>
              <w:rPr>
                <w:sz w:val="11"/>
              </w:rPr>
            </w:pPr>
            <w:r>
              <w:rPr>
                <w:color w:val="231F20"/>
                <w:w w:val="105"/>
                <w:sz w:val="11"/>
              </w:rPr>
              <w:t>0.72</w:t>
            </w:r>
          </w:p>
        </w:tc>
        <w:tc>
          <w:tcPr>
            <w:tcW w:w="426" w:type="dxa"/>
          </w:tcPr>
          <w:p>
            <w:pPr>
              <w:pStyle w:val="TableParagraph"/>
              <w:ind w:right="59"/>
              <w:jc w:val="right"/>
              <w:rPr>
                <w:sz w:val="11"/>
              </w:rPr>
            </w:pPr>
            <w:r>
              <w:rPr>
                <w:color w:val="231F20"/>
                <w:w w:val="105"/>
                <w:sz w:val="11"/>
              </w:rPr>
              <w:t>4.62</w:t>
            </w:r>
          </w:p>
        </w:tc>
        <w:tc>
          <w:tcPr>
            <w:tcW w:w="357" w:type="dxa"/>
          </w:tcPr>
          <w:p>
            <w:pPr>
              <w:pStyle w:val="TableParagraph"/>
              <w:ind w:right="60"/>
              <w:jc w:val="right"/>
              <w:rPr>
                <w:sz w:val="11"/>
              </w:rPr>
            </w:pPr>
            <w:r>
              <w:rPr>
                <w:color w:val="231F20"/>
                <w:w w:val="105"/>
                <w:sz w:val="11"/>
              </w:rPr>
              <w:t>6.66</w:t>
            </w:r>
          </w:p>
        </w:tc>
        <w:tc>
          <w:tcPr>
            <w:tcW w:w="398" w:type="dxa"/>
          </w:tcPr>
          <w:p>
            <w:pPr>
              <w:pStyle w:val="TableParagraph"/>
              <w:ind w:right="37"/>
              <w:jc w:val="right"/>
              <w:rPr>
                <w:sz w:val="11"/>
              </w:rPr>
            </w:pPr>
            <w:r>
              <w:rPr>
                <w:color w:val="231F20"/>
                <w:w w:val="105"/>
                <w:sz w:val="11"/>
              </w:rPr>
              <w:t>0.46</w:t>
            </w:r>
          </w:p>
        </w:tc>
        <w:tc>
          <w:tcPr>
            <w:tcW w:w="464" w:type="dxa"/>
          </w:tcPr>
          <w:p>
            <w:pPr>
              <w:pStyle w:val="TableParagraph"/>
              <w:ind w:left="14" w:right="54"/>
              <w:jc w:val="center"/>
              <w:rPr>
                <w:sz w:val="11"/>
              </w:rPr>
            </w:pPr>
            <w:r>
              <w:rPr>
                <w:color w:val="231F20"/>
                <w:w w:val="105"/>
                <w:sz w:val="11"/>
              </w:rPr>
              <w:t>157.00</w:t>
            </w:r>
          </w:p>
        </w:tc>
        <w:tc>
          <w:tcPr>
            <w:tcW w:w="826" w:type="dxa"/>
          </w:tcPr>
          <w:p>
            <w:pPr>
              <w:pStyle w:val="TableParagraph"/>
              <w:ind w:left="45" w:right="10"/>
              <w:jc w:val="center"/>
              <w:rPr>
                <w:sz w:val="11"/>
              </w:rPr>
            </w:pPr>
            <w:r>
              <w:rPr>
                <w:color w:val="231F20"/>
                <w:w w:val="105"/>
                <w:sz w:val="11"/>
              </w:rPr>
              <w:t>200</w:t>
            </w:r>
          </w:p>
        </w:tc>
      </w:tr>
      <w:tr>
        <w:trPr>
          <w:trHeight w:val="146" w:hRule="atLeast"/>
        </w:trPr>
        <w:tc>
          <w:tcPr>
            <w:tcW w:w="1537" w:type="dxa"/>
          </w:tcPr>
          <w:p>
            <w:pPr>
              <w:pStyle w:val="TableParagraph"/>
              <w:ind w:left="22"/>
              <w:rPr>
                <w:sz w:val="11"/>
              </w:rPr>
            </w:pPr>
            <w:r>
              <w:rPr>
                <w:color w:val="231F20"/>
                <w:w w:val="105"/>
                <w:sz w:val="11"/>
              </w:rPr>
              <w:t>Masa Valverde</w:t>
            </w:r>
          </w:p>
        </w:tc>
        <w:tc>
          <w:tcPr>
            <w:tcW w:w="860" w:type="dxa"/>
          </w:tcPr>
          <w:p>
            <w:pPr>
              <w:pStyle w:val="TableParagraph"/>
              <w:ind w:left="113"/>
              <w:rPr>
                <w:sz w:val="11"/>
              </w:rPr>
            </w:pPr>
            <w:r>
              <w:rPr>
                <w:color w:val="231F20"/>
                <w:w w:val="105"/>
                <w:sz w:val="11"/>
              </w:rPr>
              <w:t>Spain</w:t>
            </w:r>
          </w:p>
        </w:tc>
        <w:tc>
          <w:tcPr>
            <w:tcW w:w="1652" w:type="dxa"/>
          </w:tcPr>
          <w:p>
            <w:pPr>
              <w:pStyle w:val="TableParagraph"/>
              <w:ind w:left="105"/>
              <w:rPr>
                <w:sz w:val="11"/>
              </w:rPr>
            </w:pPr>
            <w:r>
              <w:rPr>
                <w:color w:val="231F20"/>
                <w:w w:val="105"/>
                <w:sz w:val="11"/>
              </w:rPr>
              <w:t>Hercynian</w:t>
            </w:r>
          </w:p>
        </w:tc>
        <w:tc>
          <w:tcPr>
            <w:tcW w:w="910" w:type="dxa"/>
          </w:tcPr>
          <w:p>
            <w:pPr>
              <w:pStyle w:val="TableParagraph"/>
              <w:ind w:right="177"/>
              <w:jc w:val="right"/>
              <w:rPr>
                <w:sz w:val="11"/>
              </w:rPr>
            </w:pPr>
            <w:r>
              <w:rPr>
                <w:color w:val="231F20"/>
                <w:w w:val="105"/>
                <w:sz w:val="11"/>
              </w:rPr>
              <w:t>120.00</w:t>
            </w:r>
          </w:p>
        </w:tc>
        <w:tc>
          <w:tcPr>
            <w:tcW w:w="364" w:type="dxa"/>
          </w:tcPr>
          <w:p>
            <w:pPr>
              <w:pStyle w:val="TableParagraph"/>
              <w:ind w:right="16"/>
              <w:jc w:val="right"/>
              <w:rPr>
                <w:sz w:val="11"/>
              </w:rPr>
            </w:pPr>
            <w:r>
              <w:rPr>
                <w:color w:val="231F20"/>
                <w:w w:val="105"/>
                <w:sz w:val="11"/>
              </w:rPr>
              <w:t>0.5</w:t>
            </w:r>
          </w:p>
        </w:tc>
        <w:tc>
          <w:tcPr>
            <w:tcW w:w="426" w:type="dxa"/>
          </w:tcPr>
          <w:p>
            <w:pPr>
              <w:pStyle w:val="TableParagraph"/>
              <w:ind w:right="59"/>
              <w:jc w:val="right"/>
              <w:rPr>
                <w:sz w:val="11"/>
              </w:rPr>
            </w:pPr>
            <w:r>
              <w:rPr>
                <w:color w:val="231F20"/>
                <w:w w:val="105"/>
                <w:sz w:val="11"/>
              </w:rPr>
              <w:t>0.6</w:t>
            </w:r>
          </w:p>
        </w:tc>
        <w:tc>
          <w:tcPr>
            <w:tcW w:w="357" w:type="dxa"/>
          </w:tcPr>
          <w:p>
            <w:pPr>
              <w:pStyle w:val="TableParagraph"/>
              <w:ind w:right="60"/>
              <w:jc w:val="right"/>
              <w:rPr>
                <w:sz w:val="11"/>
              </w:rPr>
            </w:pPr>
            <w:r>
              <w:rPr>
                <w:color w:val="231F20"/>
                <w:w w:val="105"/>
                <w:sz w:val="11"/>
              </w:rPr>
              <w:t>1.3</w:t>
            </w:r>
          </w:p>
        </w:tc>
        <w:tc>
          <w:tcPr>
            <w:tcW w:w="398" w:type="dxa"/>
          </w:tcPr>
          <w:p>
            <w:pPr>
              <w:pStyle w:val="TableParagraph"/>
              <w:ind w:right="37"/>
              <w:jc w:val="right"/>
              <w:rPr>
                <w:sz w:val="11"/>
              </w:rPr>
            </w:pPr>
            <w:r>
              <w:rPr>
                <w:color w:val="231F20"/>
                <w:w w:val="105"/>
                <w:sz w:val="11"/>
              </w:rPr>
              <w:t>0.80</w:t>
            </w:r>
          </w:p>
        </w:tc>
        <w:tc>
          <w:tcPr>
            <w:tcW w:w="464" w:type="dxa"/>
          </w:tcPr>
          <w:p>
            <w:pPr>
              <w:pStyle w:val="TableParagraph"/>
              <w:ind w:left="77" w:right="54"/>
              <w:jc w:val="center"/>
              <w:rPr>
                <w:sz w:val="11"/>
              </w:rPr>
            </w:pPr>
            <w:r>
              <w:rPr>
                <w:color w:val="231F20"/>
                <w:w w:val="105"/>
                <w:sz w:val="11"/>
              </w:rPr>
              <w:t>38.00</w:t>
            </w:r>
          </w:p>
        </w:tc>
        <w:tc>
          <w:tcPr>
            <w:tcW w:w="826" w:type="dxa"/>
          </w:tcPr>
          <w:p>
            <w:pPr>
              <w:pStyle w:val="TableParagraph"/>
              <w:ind w:left="45" w:right="10"/>
              <w:jc w:val="center"/>
              <w:rPr>
                <w:sz w:val="11"/>
              </w:rPr>
            </w:pPr>
            <w:r>
              <w:rPr>
                <w:color w:val="231F20"/>
                <w:w w:val="105"/>
                <w:sz w:val="11"/>
              </w:rPr>
              <w:t>320</w:t>
            </w:r>
          </w:p>
        </w:tc>
      </w:tr>
      <w:tr>
        <w:trPr>
          <w:trHeight w:val="146" w:hRule="atLeast"/>
        </w:trPr>
        <w:tc>
          <w:tcPr>
            <w:tcW w:w="1537" w:type="dxa"/>
          </w:tcPr>
          <w:p>
            <w:pPr>
              <w:pStyle w:val="TableParagraph"/>
              <w:ind w:left="22"/>
              <w:rPr>
                <w:sz w:val="11"/>
              </w:rPr>
            </w:pPr>
            <w:r>
              <w:rPr>
                <w:color w:val="231F20"/>
                <w:w w:val="105"/>
                <w:sz w:val="11"/>
              </w:rPr>
              <w:t>Sibai</w:t>
            </w:r>
          </w:p>
        </w:tc>
        <w:tc>
          <w:tcPr>
            <w:tcW w:w="860" w:type="dxa"/>
          </w:tcPr>
          <w:p>
            <w:pPr>
              <w:pStyle w:val="TableParagraph"/>
              <w:ind w:left="113"/>
              <w:rPr>
                <w:sz w:val="11"/>
              </w:rPr>
            </w:pPr>
            <w:r>
              <w:rPr>
                <w:color w:val="231F20"/>
                <w:w w:val="105"/>
                <w:sz w:val="11"/>
              </w:rPr>
              <w:t>Russia</w:t>
            </w:r>
          </w:p>
        </w:tc>
        <w:tc>
          <w:tcPr>
            <w:tcW w:w="1652" w:type="dxa"/>
          </w:tcPr>
          <w:p>
            <w:pPr>
              <w:pStyle w:val="TableParagraph"/>
              <w:ind w:left="105"/>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115.00</w:t>
            </w:r>
          </w:p>
        </w:tc>
        <w:tc>
          <w:tcPr>
            <w:tcW w:w="364" w:type="dxa"/>
          </w:tcPr>
          <w:p>
            <w:pPr>
              <w:pStyle w:val="TableParagraph"/>
              <w:ind w:right="16"/>
              <w:jc w:val="right"/>
              <w:rPr>
                <w:sz w:val="11"/>
              </w:rPr>
            </w:pPr>
            <w:r>
              <w:rPr>
                <w:color w:val="231F20"/>
                <w:w w:val="106"/>
                <w:sz w:val="11"/>
              </w:rPr>
              <w:t>1</w:t>
            </w:r>
          </w:p>
        </w:tc>
        <w:tc>
          <w:tcPr>
            <w:tcW w:w="426" w:type="dxa"/>
          </w:tcPr>
          <w:p>
            <w:pPr>
              <w:pStyle w:val="TableParagraph"/>
              <w:ind w:right="59"/>
              <w:jc w:val="right"/>
              <w:rPr>
                <w:sz w:val="11"/>
              </w:rPr>
            </w:pPr>
            <w:r>
              <w:rPr>
                <w:color w:val="231F20"/>
                <w:w w:val="105"/>
                <w:sz w:val="11"/>
              </w:rPr>
              <w:t>0.04</w:t>
            </w:r>
          </w:p>
        </w:tc>
        <w:tc>
          <w:tcPr>
            <w:tcW w:w="357" w:type="dxa"/>
          </w:tcPr>
          <w:p>
            <w:pPr>
              <w:pStyle w:val="TableParagraph"/>
              <w:ind w:right="60"/>
              <w:jc w:val="right"/>
              <w:rPr>
                <w:sz w:val="11"/>
              </w:rPr>
            </w:pPr>
            <w:r>
              <w:rPr>
                <w:color w:val="231F20"/>
                <w:w w:val="105"/>
                <w:sz w:val="11"/>
              </w:rPr>
              <w:t>1.56</w:t>
            </w:r>
          </w:p>
        </w:tc>
        <w:tc>
          <w:tcPr>
            <w:tcW w:w="398" w:type="dxa"/>
          </w:tcPr>
          <w:p>
            <w:pPr>
              <w:pStyle w:val="TableParagraph"/>
              <w:ind w:right="37"/>
              <w:jc w:val="right"/>
              <w:rPr>
                <w:sz w:val="11"/>
              </w:rPr>
            </w:pPr>
            <w:r>
              <w:rPr>
                <w:color w:val="231F20"/>
                <w:w w:val="105"/>
                <w:sz w:val="11"/>
              </w:rPr>
              <w:t>0.60</w:t>
            </w:r>
          </w:p>
        </w:tc>
        <w:tc>
          <w:tcPr>
            <w:tcW w:w="464" w:type="dxa"/>
          </w:tcPr>
          <w:p>
            <w:pPr>
              <w:pStyle w:val="TableParagraph"/>
              <w:ind w:left="77" w:right="54"/>
              <w:jc w:val="center"/>
              <w:rPr>
                <w:sz w:val="11"/>
              </w:rPr>
            </w:pPr>
            <w:r>
              <w:rPr>
                <w:color w:val="231F20"/>
                <w:w w:val="105"/>
                <w:sz w:val="11"/>
              </w:rPr>
              <w:t>16.00</w:t>
            </w:r>
          </w:p>
        </w:tc>
        <w:tc>
          <w:tcPr>
            <w:tcW w:w="826" w:type="dxa"/>
          </w:tcPr>
          <w:p>
            <w:pPr>
              <w:pStyle w:val="TableParagraph"/>
              <w:ind w:left="45" w:right="10"/>
              <w:jc w:val="center"/>
              <w:rPr>
                <w:sz w:val="11"/>
              </w:rPr>
            </w:pPr>
            <w:r>
              <w:rPr>
                <w:color w:val="231F20"/>
                <w:w w:val="105"/>
                <w:sz w:val="11"/>
              </w:rPr>
              <w:t>392</w:t>
            </w:r>
          </w:p>
        </w:tc>
      </w:tr>
      <w:tr>
        <w:trPr>
          <w:trHeight w:val="146" w:hRule="atLeast"/>
        </w:trPr>
        <w:tc>
          <w:tcPr>
            <w:tcW w:w="1537" w:type="dxa"/>
          </w:tcPr>
          <w:p>
            <w:pPr>
              <w:pStyle w:val="TableParagraph"/>
              <w:spacing w:line="115" w:lineRule="exact"/>
              <w:ind w:left="22"/>
              <w:rPr>
                <w:sz w:val="11"/>
              </w:rPr>
            </w:pPr>
            <w:r>
              <w:rPr>
                <w:color w:val="231F20"/>
                <w:w w:val="105"/>
                <w:sz w:val="11"/>
              </w:rPr>
              <w:t>Tharsis</w:t>
            </w:r>
          </w:p>
        </w:tc>
        <w:tc>
          <w:tcPr>
            <w:tcW w:w="860" w:type="dxa"/>
          </w:tcPr>
          <w:p>
            <w:pPr>
              <w:pStyle w:val="TableParagraph"/>
              <w:spacing w:line="115" w:lineRule="exact"/>
              <w:ind w:left="114"/>
              <w:rPr>
                <w:sz w:val="11"/>
              </w:rPr>
            </w:pPr>
            <w:r>
              <w:rPr>
                <w:color w:val="231F20"/>
                <w:w w:val="105"/>
                <w:sz w:val="11"/>
              </w:rPr>
              <w:t>Spain</w:t>
            </w:r>
          </w:p>
        </w:tc>
        <w:tc>
          <w:tcPr>
            <w:tcW w:w="1652" w:type="dxa"/>
          </w:tcPr>
          <w:p>
            <w:pPr>
              <w:pStyle w:val="TableParagraph"/>
              <w:spacing w:line="115" w:lineRule="exact"/>
              <w:ind w:left="105"/>
              <w:rPr>
                <w:sz w:val="11"/>
              </w:rPr>
            </w:pPr>
            <w:r>
              <w:rPr>
                <w:color w:val="231F20"/>
                <w:w w:val="105"/>
                <w:sz w:val="11"/>
              </w:rPr>
              <w:t>Hercynian</w:t>
            </w:r>
          </w:p>
        </w:tc>
        <w:tc>
          <w:tcPr>
            <w:tcW w:w="910" w:type="dxa"/>
          </w:tcPr>
          <w:p>
            <w:pPr>
              <w:pStyle w:val="TableParagraph"/>
              <w:spacing w:line="115" w:lineRule="exact"/>
              <w:ind w:right="177"/>
              <w:jc w:val="right"/>
              <w:rPr>
                <w:sz w:val="11"/>
              </w:rPr>
            </w:pPr>
            <w:r>
              <w:rPr>
                <w:color w:val="231F20"/>
                <w:w w:val="105"/>
                <w:sz w:val="11"/>
              </w:rPr>
              <w:t>110.00</w:t>
            </w:r>
          </w:p>
        </w:tc>
        <w:tc>
          <w:tcPr>
            <w:tcW w:w="364" w:type="dxa"/>
          </w:tcPr>
          <w:p>
            <w:pPr>
              <w:pStyle w:val="TableParagraph"/>
              <w:spacing w:line="115" w:lineRule="exact"/>
              <w:ind w:right="16"/>
              <w:jc w:val="right"/>
              <w:rPr>
                <w:sz w:val="11"/>
              </w:rPr>
            </w:pPr>
            <w:r>
              <w:rPr>
                <w:color w:val="231F20"/>
                <w:w w:val="105"/>
                <w:sz w:val="11"/>
              </w:rPr>
              <w:t>0.5</w:t>
            </w:r>
          </w:p>
        </w:tc>
        <w:tc>
          <w:tcPr>
            <w:tcW w:w="426" w:type="dxa"/>
          </w:tcPr>
          <w:p>
            <w:pPr>
              <w:pStyle w:val="TableParagraph"/>
              <w:spacing w:line="115" w:lineRule="exact"/>
              <w:ind w:right="59"/>
              <w:jc w:val="right"/>
              <w:rPr>
                <w:sz w:val="11"/>
              </w:rPr>
            </w:pPr>
            <w:r>
              <w:rPr>
                <w:color w:val="231F20"/>
                <w:w w:val="105"/>
                <w:sz w:val="11"/>
              </w:rPr>
              <w:t>0.6</w:t>
            </w:r>
          </w:p>
        </w:tc>
        <w:tc>
          <w:tcPr>
            <w:tcW w:w="357" w:type="dxa"/>
          </w:tcPr>
          <w:p>
            <w:pPr>
              <w:pStyle w:val="TableParagraph"/>
              <w:spacing w:line="115" w:lineRule="exact"/>
              <w:ind w:right="60"/>
              <w:jc w:val="right"/>
              <w:rPr>
                <w:sz w:val="11"/>
              </w:rPr>
            </w:pPr>
            <w:r>
              <w:rPr>
                <w:color w:val="231F20"/>
                <w:w w:val="105"/>
                <w:sz w:val="11"/>
              </w:rPr>
              <w:t>2.7</w:t>
            </w:r>
          </w:p>
        </w:tc>
        <w:tc>
          <w:tcPr>
            <w:tcW w:w="398" w:type="dxa"/>
          </w:tcPr>
          <w:p>
            <w:pPr>
              <w:pStyle w:val="TableParagraph"/>
              <w:spacing w:line="115" w:lineRule="exact"/>
              <w:ind w:right="37"/>
              <w:jc w:val="right"/>
              <w:rPr>
                <w:sz w:val="11"/>
              </w:rPr>
            </w:pPr>
            <w:r>
              <w:rPr>
                <w:color w:val="231F20"/>
                <w:w w:val="105"/>
                <w:sz w:val="11"/>
              </w:rPr>
              <w:t>0.70</w:t>
            </w:r>
          </w:p>
        </w:tc>
        <w:tc>
          <w:tcPr>
            <w:tcW w:w="464" w:type="dxa"/>
          </w:tcPr>
          <w:p>
            <w:pPr>
              <w:pStyle w:val="TableParagraph"/>
              <w:spacing w:line="115" w:lineRule="exact"/>
              <w:ind w:left="77" w:right="54"/>
              <w:jc w:val="center"/>
              <w:rPr>
                <w:sz w:val="11"/>
              </w:rPr>
            </w:pPr>
            <w:r>
              <w:rPr>
                <w:color w:val="231F20"/>
                <w:w w:val="105"/>
                <w:sz w:val="11"/>
              </w:rPr>
              <w:t>22.00</w:t>
            </w:r>
          </w:p>
        </w:tc>
        <w:tc>
          <w:tcPr>
            <w:tcW w:w="826" w:type="dxa"/>
          </w:tcPr>
          <w:p>
            <w:pPr>
              <w:pStyle w:val="TableParagraph"/>
              <w:spacing w:line="115" w:lineRule="exact"/>
              <w:ind w:left="45" w:right="10"/>
              <w:jc w:val="center"/>
              <w:rPr>
                <w:sz w:val="11"/>
              </w:rPr>
            </w:pPr>
            <w:r>
              <w:rPr>
                <w:color w:val="231F20"/>
                <w:w w:val="105"/>
                <w:sz w:val="11"/>
              </w:rPr>
              <w:t>320</w:t>
            </w:r>
          </w:p>
        </w:tc>
      </w:tr>
      <w:tr>
        <w:trPr>
          <w:trHeight w:val="146" w:hRule="atLeast"/>
        </w:trPr>
        <w:tc>
          <w:tcPr>
            <w:tcW w:w="1537" w:type="dxa"/>
          </w:tcPr>
          <w:p>
            <w:pPr>
              <w:pStyle w:val="TableParagraph"/>
              <w:spacing w:line="115" w:lineRule="exact"/>
              <w:ind w:left="22"/>
              <w:rPr>
                <w:sz w:val="11"/>
              </w:rPr>
            </w:pPr>
            <w:r>
              <w:rPr>
                <w:color w:val="231F20"/>
                <w:w w:val="105"/>
                <w:sz w:val="11"/>
              </w:rPr>
              <w:t>Yubileinoe</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5"/>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107.00</w:t>
            </w:r>
          </w:p>
        </w:tc>
        <w:tc>
          <w:tcPr>
            <w:tcW w:w="364" w:type="dxa"/>
          </w:tcPr>
          <w:p>
            <w:pPr>
              <w:pStyle w:val="TableParagraph"/>
              <w:ind w:right="16"/>
              <w:jc w:val="right"/>
              <w:rPr>
                <w:sz w:val="11"/>
              </w:rPr>
            </w:pPr>
            <w:r>
              <w:rPr>
                <w:color w:val="231F20"/>
                <w:w w:val="105"/>
                <w:sz w:val="11"/>
              </w:rPr>
              <w:t>1.9</w:t>
            </w:r>
          </w:p>
        </w:tc>
        <w:tc>
          <w:tcPr>
            <w:tcW w:w="426" w:type="dxa"/>
          </w:tcPr>
          <w:p>
            <w:pPr>
              <w:pStyle w:val="TableParagraph"/>
              <w:ind w:right="59"/>
              <w:jc w:val="right"/>
              <w:rPr>
                <w:sz w:val="11"/>
              </w:rPr>
            </w:pPr>
            <w:r>
              <w:rPr>
                <w:color w:val="231F20"/>
                <w:w w:val="105"/>
                <w:sz w:val="11"/>
              </w:rPr>
              <w:t>0.1</w:t>
            </w:r>
          </w:p>
        </w:tc>
        <w:tc>
          <w:tcPr>
            <w:tcW w:w="357" w:type="dxa"/>
          </w:tcPr>
          <w:p>
            <w:pPr>
              <w:pStyle w:val="TableParagraph"/>
              <w:ind w:right="60"/>
              <w:jc w:val="right"/>
              <w:rPr>
                <w:sz w:val="11"/>
              </w:rPr>
            </w:pPr>
            <w:r>
              <w:rPr>
                <w:color w:val="231F20"/>
                <w:w w:val="105"/>
                <w:sz w:val="11"/>
              </w:rPr>
              <w:t>1.2</w:t>
            </w:r>
          </w:p>
        </w:tc>
        <w:tc>
          <w:tcPr>
            <w:tcW w:w="398" w:type="dxa"/>
          </w:tcPr>
          <w:p>
            <w:pPr>
              <w:pStyle w:val="TableParagraph"/>
              <w:ind w:right="37"/>
              <w:jc w:val="right"/>
              <w:rPr>
                <w:sz w:val="11"/>
              </w:rPr>
            </w:pPr>
            <w:r>
              <w:rPr>
                <w:color w:val="231F20"/>
                <w:w w:val="105"/>
                <w:sz w:val="11"/>
              </w:rPr>
              <w:t>2.50</w:t>
            </w:r>
          </w:p>
        </w:tc>
        <w:tc>
          <w:tcPr>
            <w:tcW w:w="464" w:type="dxa"/>
          </w:tcPr>
          <w:p>
            <w:pPr>
              <w:pStyle w:val="TableParagraph"/>
              <w:ind w:left="77" w:right="54"/>
              <w:jc w:val="center"/>
              <w:rPr>
                <w:sz w:val="11"/>
              </w:rPr>
            </w:pPr>
            <w:r>
              <w:rPr>
                <w:color w:val="231F20"/>
                <w:w w:val="105"/>
                <w:sz w:val="11"/>
              </w:rPr>
              <w:t>16.00</w:t>
            </w:r>
          </w:p>
        </w:tc>
        <w:tc>
          <w:tcPr>
            <w:tcW w:w="826" w:type="dxa"/>
          </w:tcPr>
          <w:p>
            <w:pPr>
              <w:pStyle w:val="TableParagraph"/>
              <w:ind w:left="45" w:right="10"/>
              <w:jc w:val="center"/>
              <w:rPr>
                <w:sz w:val="11"/>
              </w:rPr>
            </w:pPr>
            <w:r>
              <w:rPr>
                <w:color w:val="231F20"/>
                <w:w w:val="105"/>
                <w:sz w:val="11"/>
              </w:rPr>
              <w:t>392</w:t>
            </w:r>
          </w:p>
        </w:tc>
      </w:tr>
      <w:tr>
        <w:trPr>
          <w:trHeight w:val="146" w:hRule="atLeast"/>
        </w:trPr>
        <w:tc>
          <w:tcPr>
            <w:tcW w:w="1537" w:type="dxa"/>
          </w:tcPr>
          <w:p>
            <w:pPr>
              <w:pStyle w:val="TableParagraph"/>
              <w:ind w:left="22"/>
              <w:rPr>
                <w:sz w:val="11"/>
              </w:rPr>
            </w:pPr>
            <w:r>
              <w:rPr>
                <w:color w:val="231F20"/>
                <w:w w:val="105"/>
                <w:sz w:val="11"/>
              </w:rPr>
              <w:t>Uchaly</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5"/>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106.00</w:t>
            </w:r>
          </w:p>
        </w:tc>
        <w:tc>
          <w:tcPr>
            <w:tcW w:w="364" w:type="dxa"/>
          </w:tcPr>
          <w:p>
            <w:pPr>
              <w:pStyle w:val="TableParagraph"/>
              <w:ind w:right="16"/>
              <w:jc w:val="right"/>
              <w:rPr>
                <w:sz w:val="11"/>
              </w:rPr>
            </w:pPr>
            <w:r>
              <w:rPr>
                <w:color w:val="231F20"/>
                <w:w w:val="105"/>
                <w:sz w:val="11"/>
              </w:rPr>
              <w:t>1.1</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3.8</w:t>
            </w:r>
          </w:p>
        </w:tc>
        <w:tc>
          <w:tcPr>
            <w:tcW w:w="398" w:type="dxa"/>
          </w:tcPr>
          <w:p>
            <w:pPr>
              <w:pStyle w:val="TableParagraph"/>
              <w:ind w:right="37"/>
              <w:jc w:val="right"/>
              <w:rPr>
                <w:sz w:val="11"/>
              </w:rPr>
            </w:pPr>
            <w:r>
              <w:rPr>
                <w:color w:val="231F20"/>
                <w:w w:val="105"/>
                <w:sz w:val="11"/>
              </w:rPr>
              <w:t>1.10</w:t>
            </w:r>
          </w:p>
        </w:tc>
        <w:tc>
          <w:tcPr>
            <w:tcW w:w="464" w:type="dxa"/>
          </w:tcPr>
          <w:p>
            <w:pPr>
              <w:pStyle w:val="TableParagraph"/>
              <w:ind w:left="77" w:right="54"/>
              <w:jc w:val="center"/>
              <w:rPr>
                <w:sz w:val="11"/>
              </w:rPr>
            </w:pPr>
            <w:r>
              <w:rPr>
                <w:color w:val="231F20"/>
                <w:w w:val="105"/>
                <w:sz w:val="11"/>
              </w:rPr>
              <w:t>15.50</w:t>
            </w:r>
          </w:p>
        </w:tc>
        <w:tc>
          <w:tcPr>
            <w:tcW w:w="826" w:type="dxa"/>
          </w:tcPr>
          <w:p>
            <w:pPr>
              <w:pStyle w:val="TableParagraph"/>
              <w:ind w:left="46" w:right="10"/>
              <w:jc w:val="center"/>
              <w:rPr>
                <w:sz w:val="11"/>
              </w:rPr>
            </w:pPr>
            <w:r>
              <w:rPr>
                <w:color w:val="231F20"/>
                <w:w w:val="105"/>
                <w:sz w:val="11"/>
              </w:rPr>
              <w:t>392</w:t>
            </w:r>
          </w:p>
        </w:tc>
      </w:tr>
      <w:tr>
        <w:trPr>
          <w:trHeight w:val="156" w:hRule="atLeast"/>
        </w:trPr>
        <w:tc>
          <w:tcPr>
            <w:tcW w:w="1537" w:type="dxa"/>
            <w:tcBorders>
              <w:bottom w:val="single" w:sz="4" w:space="0" w:color="231F20"/>
            </w:tcBorders>
          </w:tcPr>
          <w:p>
            <w:pPr>
              <w:pStyle w:val="TableParagraph"/>
              <w:spacing w:line="126" w:lineRule="exact"/>
              <w:ind w:left="22"/>
              <w:rPr>
                <w:sz w:val="11"/>
              </w:rPr>
            </w:pPr>
            <w:r>
              <w:rPr>
                <w:color w:val="231F20"/>
                <w:w w:val="105"/>
                <w:sz w:val="11"/>
              </w:rPr>
              <w:t>Madneuli</w:t>
            </w:r>
          </w:p>
        </w:tc>
        <w:tc>
          <w:tcPr>
            <w:tcW w:w="860" w:type="dxa"/>
            <w:tcBorders>
              <w:bottom w:val="single" w:sz="4" w:space="0" w:color="231F20"/>
            </w:tcBorders>
          </w:tcPr>
          <w:p>
            <w:pPr>
              <w:pStyle w:val="TableParagraph"/>
              <w:spacing w:line="126" w:lineRule="exact"/>
              <w:ind w:left="114"/>
              <w:rPr>
                <w:sz w:val="11"/>
              </w:rPr>
            </w:pPr>
            <w:r>
              <w:rPr>
                <w:color w:val="231F20"/>
                <w:w w:val="105"/>
                <w:sz w:val="11"/>
              </w:rPr>
              <w:t>Georgia</w:t>
            </w:r>
          </w:p>
        </w:tc>
        <w:tc>
          <w:tcPr>
            <w:tcW w:w="1652" w:type="dxa"/>
            <w:tcBorders>
              <w:bottom w:val="single" w:sz="4" w:space="0" w:color="231F20"/>
            </w:tcBorders>
          </w:tcPr>
          <w:p>
            <w:pPr>
              <w:pStyle w:val="TableParagraph"/>
              <w:spacing w:line="126" w:lineRule="exact"/>
              <w:ind w:left="105"/>
              <w:rPr>
                <w:sz w:val="11"/>
              </w:rPr>
            </w:pPr>
            <w:r>
              <w:rPr>
                <w:color w:val="231F20"/>
                <w:w w:val="105"/>
                <w:sz w:val="11"/>
              </w:rPr>
              <w:t>Caucasian (Tethyan)</w:t>
            </w:r>
          </w:p>
        </w:tc>
        <w:tc>
          <w:tcPr>
            <w:tcW w:w="910" w:type="dxa"/>
            <w:tcBorders>
              <w:bottom w:val="single" w:sz="4" w:space="0" w:color="231F20"/>
            </w:tcBorders>
          </w:tcPr>
          <w:p>
            <w:pPr>
              <w:pStyle w:val="TableParagraph"/>
              <w:spacing w:line="126" w:lineRule="exact"/>
              <w:ind w:right="177"/>
              <w:jc w:val="right"/>
              <w:rPr>
                <w:sz w:val="11"/>
              </w:rPr>
            </w:pPr>
            <w:r>
              <w:rPr>
                <w:color w:val="231F20"/>
                <w:w w:val="105"/>
                <w:sz w:val="11"/>
              </w:rPr>
              <w:t>102.60</w:t>
            </w:r>
          </w:p>
        </w:tc>
        <w:tc>
          <w:tcPr>
            <w:tcW w:w="364" w:type="dxa"/>
            <w:tcBorders>
              <w:bottom w:val="single" w:sz="4" w:space="0" w:color="231F20"/>
            </w:tcBorders>
          </w:tcPr>
          <w:p>
            <w:pPr>
              <w:pStyle w:val="TableParagraph"/>
              <w:spacing w:line="126" w:lineRule="exact"/>
              <w:ind w:right="16"/>
              <w:jc w:val="right"/>
              <w:rPr>
                <w:sz w:val="11"/>
              </w:rPr>
            </w:pPr>
            <w:r>
              <w:rPr>
                <w:color w:val="231F20"/>
                <w:w w:val="105"/>
                <w:sz w:val="11"/>
              </w:rPr>
              <w:t>1.29</w:t>
            </w:r>
          </w:p>
        </w:tc>
        <w:tc>
          <w:tcPr>
            <w:tcW w:w="426" w:type="dxa"/>
            <w:tcBorders>
              <w:bottom w:val="single" w:sz="4" w:space="0" w:color="231F20"/>
            </w:tcBorders>
          </w:tcPr>
          <w:p>
            <w:pPr>
              <w:pStyle w:val="TableParagraph"/>
              <w:spacing w:line="240" w:lineRule="auto" w:before="0"/>
              <w:rPr>
                <w:rFonts w:ascii="Times New Roman"/>
                <w:sz w:val="10"/>
              </w:rPr>
            </w:pPr>
          </w:p>
        </w:tc>
        <w:tc>
          <w:tcPr>
            <w:tcW w:w="357" w:type="dxa"/>
            <w:tcBorders>
              <w:bottom w:val="single" w:sz="4" w:space="0" w:color="231F20"/>
            </w:tcBorders>
          </w:tcPr>
          <w:p>
            <w:pPr>
              <w:pStyle w:val="TableParagraph"/>
              <w:spacing w:line="126" w:lineRule="exact"/>
              <w:ind w:right="60"/>
              <w:jc w:val="right"/>
              <w:rPr>
                <w:sz w:val="11"/>
              </w:rPr>
            </w:pPr>
            <w:r>
              <w:rPr>
                <w:color w:val="231F20"/>
                <w:w w:val="105"/>
                <w:sz w:val="11"/>
              </w:rPr>
              <w:t>1.8</w:t>
            </w:r>
          </w:p>
        </w:tc>
        <w:tc>
          <w:tcPr>
            <w:tcW w:w="398" w:type="dxa"/>
            <w:tcBorders>
              <w:bottom w:val="single" w:sz="4" w:space="0" w:color="231F20"/>
            </w:tcBorders>
          </w:tcPr>
          <w:p>
            <w:pPr>
              <w:pStyle w:val="TableParagraph"/>
              <w:spacing w:line="126" w:lineRule="exact"/>
              <w:ind w:right="37"/>
              <w:jc w:val="right"/>
              <w:rPr>
                <w:sz w:val="11"/>
              </w:rPr>
            </w:pPr>
            <w:r>
              <w:rPr>
                <w:color w:val="231F20"/>
                <w:w w:val="105"/>
                <w:sz w:val="11"/>
              </w:rPr>
              <w:t>0.73</w:t>
            </w:r>
          </w:p>
        </w:tc>
        <w:tc>
          <w:tcPr>
            <w:tcW w:w="464" w:type="dxa"/>
            <w:tcBorders>
              <w:bottom w:val="single" w:sz="4" w:space="0" w:color="231F20"/>
            </w:tcBorders>
          </w:tcPr>
          <w:p>
            <w:pPr>
              <w:pStyle w:val="TableParagraph"/>
              <w:spacing w:line="126" w:lineRule="exact"/>
              <w:ind w:left="143" w:right="54"/>
              <w:jc w:val="center"/>
              <w:rPr>
                <w:sz w:val="11"/>
              </w:rPr>
            </w:pPr>
            <w:r>
              <w:rPr>
                <w:color w:val="231F20"/>
                <w:w w:val="105"/>
                <w:sz w:val="11"/>
              </w:rPr>
              <w:t>4.31</w:t>
            </w:r>
          </w:p>
        </w:tc>
        <w:tc>
          <w:tcPr>
            <w:tcW w:w="826" w:type="dxa"/>
            <w:tcBorders>
              <w:bottom w:val="single" w:sz="4" w:space="0" w:color="231F20"/>
            </w:tcBorders>
          </w:tcPr>
          <w:p>
            <w:pPr>
              <w:pStyle w:val="TableParagraph"/>
              <w:spacing w:line="126" w:lineRule="exact"/>
              <w:ind w:left="46" w:right="10"/>
              <w:jc w:val="center"/>
              <w:rPr>
                <w:sz w:val="11"/>
              </w:rPr>
            </w:pPr>
            <w:r>
              <w:rPr>
                <w:color w:val="231F20"/>
                <w:w w:val="105"/>
                <w:sz w:val="11"/>
              </w:rPr>
              <w:t>70</w:t>
            </w:r>
          </w:p>
        </w:tc>
      </w:tr>
      <w:tr>
        <w:trPr>
          <w:trHeight w:val="271" w:hRule="atLeast"/>
        </w:trPr>
        <w:tc>
          <w:tcPr>
            <w:tcW w:w="1537" w:type="dxa"/>
            <w:tcBorders>
              <w:top w:val="single" w:sz="4" w:space="0" w:color="231F20"/>
            </w:tcBorders>
          </w:tcPr>
          <w:p>
            <w:pPr>
              <w:pStyle w:val="TableParagraph"/>
              <w:spacing w:line="126" w:lineRule="exact"/>
              <w:ind w:left="22"/>
              <w:rPr>
                <w:b/>
                <w:sz w:val="11"/>
              </w:rPr>
            </w:pPr>
            <w:r>
              <w:rPr>
                <w:b/>
                <w:color w:val="231F20"/>
                <w:w w:val="105"/>
                <w:sz w:val="11"/>
              </w:rPr>
              <w:t>VERY LARGE</w:t>
            </w:r>
          </w:p>
          <w:p>
            <w:pPr>
              <w:pStyle w:val="TableParagraph"/>
              <w:spacing w:line="115" w:lineRule="exact" w:before="0"/>
              <w:ind w:left="22"/>
              <w:rPr>
                <w:sz w:val="11"/>
              </w:rPr>
            </w:pPr>
            <w:r>
              <w:rPr>
                <w:color w:val="231F20"/>
                <w:w w:val="105"/>
                <w:sz w:val="11"/>
              </w:rPr>
              <w:t>Mount Lyell</w:t>
            </w:r>
          </w:p>
        </w:tc>
        <w:tc>
          <w:tcPr>
            <w:tcW w:w="860" w:type="dxa"/>
            <w:tcBorders>
              <w:top w:val="single" w:sz="4" w:space="0" w:color="231F20"/>
            </w:tcBorders>
          </w:tcPr>
          <w:p>
            <w:pPr>
              <w:pStyle w:val="TableParagraph"/>
              <w:spacing w:line="240" w:lineRule="auto" w:before="9"/>
              <w:rPr>
                <w:rFonts w:ascii="Times New Roman"/>
                <w:sz w:val="11"/>
              </w:rPr>
            </w:pPr>
          </w:p>
          <w:p>
            <w:pPr>
              <w:pStyle w:val="TableParagraph"/>
              <w:spacing w:before="1"/>
              <w:ind w:left="113"/>
              <w:rPr>
                <w:sz w:val="11"/>
              </w:rPr>
            </w:pPr>
            <w:r>
              <w:rPr>
                <w:color w:val="231F20"/>
                <w:w w:val="105"/>
                <w:sz w:val="11"/>
              </w:rPr>
              <w:t>Australia</w:t>
            </w:r>
          </w:p>
        </w:tc>
        <w:tc>
          <w:tcPr>
            <w:tcW w:w="1652" w:type="dxa"/>
            <w:tcBorders>
              <w:top w:val="single" w:sz="4" w:space="0" w:color="231F20"/>
            </w:tcBorders>
          </w:tcPr>
          <w:p>
            <w:pPr>
              <w:pStyle w:val="TableParagraph"/>
              <w:spacing w:line="240" w:lineRule="auto" w:before="9"/>
              <w:rPr>
                <w:rFonts w:ascii="Times New Roman"/>
                <w:sz w:val="11"/>
              </w:rPr>
            </w:pPr>
          </w:p>
          <w:p>
            <w:pPr>
              <w:pStyle w:val="TableParagraph"/>
              <w:spacing w:before="1"/>
              <w:ind w:left="105"/>
              <w:rPr>
                <w:sz w:val="11"/>
              </w:rPr>
            </w:pPr>
            <w:r>
              <w:rPr>
                <w:color w:val="231F20"/>
                <w:w w:val="105"/>
                <w:sz w:val="11"/>
              </w:rPr>
              <w:t>Tasman</w:t>
            </w:r>
          </w:p>
        </w:tc>
        <w:tc>
          <w:tcPr>
            <w:tcW w:w="910"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77"/>
              <w:jc w:val="right"/>
              <w:rPr>
                <w:sz w:val="11"/>
              </w:rPr>
            </w:pPr>
            <w:r>
              <w:rPr>
                <w:color w:val="231F20"/>
                <w:w w:val="105"/>
                <w:sz w:val="11"/>
              </w:rPr>
              <w:t>98.57</w:t>
            </w:r>
          </w:p>
        </w:tc>
        <w:tc>
          <w:tcPr>
            <w:tcW w:w="364"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6"/>
              <w:jc w:val="right"/>
              <w:rPr>
                <w:sz w:val="11"/>
              </w:rPr>
            </w:pPr>
            <w:r>
              <w:rPr>
                <w:color w:val="231F20"/>
                <w:w w:val="105"/>
                <w:sz w:val="11"/>
              </w:rPr>
              <w:t>1.17</w:t>
            </w:r>
          </w:p>
        </w:tc>
        <w:tc>
          <w:tcPr>
            <w:tcW w:w="426" w:type="dxa"/>
            <w:tcBorders>
              <w:top w:val="single" w:sz="4" w:space="0" w:color="231F20"/>
            </w:tcBorders>
          </w:tcPr>
          <w:p>
            <w:pPr>
              <w:pStyle w:val="TableParagraph"/>
              <w:spacing w:line="240" w:lineRule="auto" w:before="9"/>
              <w:rPr>
                <w:rFonts w:ascii="Times New Roman"/>
                <w:sz w:val="11"/>
              </w:rPr>
            </w:pPr>
          </w:p>
          <w:p>
            <w:pPr>
              <w:pStyle w:val="TableParagraph"/>
              <w:spacing w:before="1"/>
              <w:ind w:right="59"/>
              <w:jc w:val="right"/>
              <w:rPr>
                <w:sz w:val="11"/>
              </w:rPr>
            </w:pPr>
            <w:r>
              <w:rPr>
                <w:color w:val="231F20"/>
                <w:w w:val="105"/>
                <w:sz w:val="11"/>
              </w:rPr>
              <w:t>0.01</w:t>
            </w:r>
          </w:p>
        </w:tc>
        <w:tc>
          <w:tcPr>
            <w:tcW w:w="357" w:type="dxa"/>
            <w:tcBorders>
              <w:top w:val="single" w:sz="4" w:space="0" w:color="231F20"/>
            </w:tcBorders>
          </w:tcPr>
          <w:p>
            <w:pPr>
              <w:pStyle w:val="TableParagraph"/>
              <w:spacing w:line="240" w:lineRule="auto" w:before="9"/>
              <w:rPr>
                <w:rFonts w:ascii="Times New Roman"/>
                <w:sz w:val="11"/>
              </w:rPr>
            </w:pPr>
          </w:p>
          <w:p>
            <w:pPr>
              <w:pStyle w:val="TableParagraph"/>
              <w:spacing w:before="1"/>
              <w:ind w:right="60"/>
              <w:jc w:val="right"/>
              <w:rPr>
                <w:sz w:val="11"/>
              </w:rPr>
            </w:pPr>
            <w:r>
              <w:rPr>
                <w:color w:val="231F20"/>
                <w:w w:val="105"/>
                <w:sz w:val="11"/>
              </w:rPr>
              <w:t>0.04</w:t>
            </w:r>
          </w:p>
        </w:tc>
        <w:tc>
          <w:tcPr>
            <w:tcW w:w="398" w:type="dxa"/>
            <w:tcBorders>
              <w:top w:val="single" w:sz="4" w:space="0" w:color="231F20"/>
            </w:tcBorders>
          </w:tcPr>
          <w:p>
            <w:pPr>
              <w:pStyle w:val="TableParagraph"/>
              <w:spacing w:line="240" w:lineRule="auto" w:before="9"/>
              <w:rPr>
                <w:rFonts w:ascii="Times New Roman"/>
                <w:sz w:val="11"/>
              </w:rPr>
            </w:pPr>
          </w:p>
          <w:p>
            <w:pPr>
              <w:pStyle w:val="TableParagraph"/>
              <w:spacing w:before="1"/>
              <w:ind w:right="37"/>
              <w:jc w:val="right"/>
              <w:rPr>
                <w:sz w:val="11"/>
              </w:rPr>
            </w:pPr>
            <w:r>
              <w:rPr>
                <w:color w:val="231F20"/>
                <w:w w:val="105"/>
                <w:sz w:val="11"/>
              </w:rPr>
              <w:t>0.39</w:t>
            </w:r>
          </w:p>
        </w:tc>
        <w:tc>
          <w:tcPr>
            <w:tcW w:w="464" w:type="dxa"/>
            <w:tcBorders>
              <w:top w:val="single" w:sz="4" w:space="0" w:color="231F20"/>
            </w:tcBorders>
          </w:tcPr>
          <w:p>
            <w:pPr>
              <w:pStyle w:val="TableParagraph"/>
              <w:spacing w:line="240" w:lineRule="auto" w:before="9"/>
              <w:rPr>
                <w:rFonts w:ascii="Times New Roman"/>
                <w:sz w:val="11"/>
              </w:rPr>
            </w:pPr>
          </w:p>
          <w:p>
            <w:pPr>
              <w:pStyle w:val="TableParagraph"/>
              <w:spacing w:before="1"/>
              <w:ind w:left="143" w:right="54"/>
              <w:jc w:val="center"/>
              <w:rPr>
                <w:sz w:val="11"/>
              </w:rPr>
            </w:pPr>
            <w:r>
              <w:rPr>
                <w:color w:val="231F20"/>
                <w:w w:val="105"/>
                <w:sz w:val="11"/>
              </w:rPr>
              <w:t>7.20</w:t>
            </w:r>
          </w:p>
        </w:tc>
        <w:tc>
          <w:tcPr>
            <w:tcW w:w="826" w:type="dxa"/>
            <w:tcBorders>
              <w:top w:val="single" w:sz="4" w:space="0" w:color="231F20"/>
            </w:tcBorders>
          </w:tcPr>
          <w:p>
            <w:pPr>
              <w:pStyle w:val="TableParagraph"/>
              <w:spacing w:line="240" w:lineRule="auto" w:before="9"/>
              <w:rPr>
                <w:rFonts w:ascii="Times New Roman"/>
                <w:sz w:val="11"/>
              </w:rPr>
            </w:pPr>
          </w:p>
          <w:p>
            <w:pPr>
              <w:pStyle w:val="TableParagraph"/>
              <w:spacing w:before="1"/>
              <w:ind w:left="46" w:right="10"/>
              <w:jc w:val="center"/>
              <w:rPr>
                <w:sz w:val="11"/>
              </w:rPr>
            </w:pPr>
            <w:r>
              <w:rPr>
                <w:color w:val="231F20"/>
                <w:w w:val="105"/>
                <w:sz w:val="11"/>
              </w:rPr>
              <w:t>495</w:t>
            </w:r>
          </w:p>
        </w:tc>
      </w:tr>
      <w:tr>
        <w:trPr>
          <w:trHeight w:val="146" w:hRule="atLeast"/>
        </w:trPr>
        <w:tc>
          <w:tcPr>
            <w:tcW w:w="1537" w:type="dxa"/>
          </w:tcPr>
          <w:p>
            <w:pPr>
              <w:pStyle w:val="TableParagraph"/>
              <w:ind w:left="22"/>
              <w:rPr>
                <w:sz w:val="11"/>
              </w:rPr>
            </w:pPr>
            <w:r>
              <w:rPr>
                <w:color w:val="231F20"/>
                <w:w w:val="105"/>
                <w:sz w:val="11"/>
              </w:rPr>
              <w:t>Rouez</w:t>
            </w:r>
          </w:p>
        </w:tc>
        <w:tc>
          <w:tcPr>
            <w:tcW w:w="860" w:type="dxa"/>
          </w:tcPr>
          <w:p>
            <w:pPr>
              <w:pStyle w:val="TableParagraph"/>
              <w:ind w:left="113"/>
              <w:rPr>
                <w:sz w:val="11"/>
              </w:rPr>
            </w:pPr>
            <w:r>
              <w:rPr>
                <w:color w:val="231F20"/>
                <w:w w:val="105"/>
                <w:sz w:val="11"/>
              </w:rPr>
              <w:t>France</w:t>
            </w:r>
          </w:p>
        </w:tc>
        <w:tc>
          <w:tcPr>
            <w:tcW w:w="1652" w:type="dxa"/>
          </w:tcPr>
          <w:p>
            <w:pPr>
              <w:pStyle w:val="TableParagraph"/>
              <w:ind w:left="105"/>
              <w:rPr>
                <w:sz w:val="11"/>
              </w:rPr>
            </w:pPr>
            <w:r>
              <w:rPr>
                <w:color w:val="231F20"/>
                <w:w w:val="105"/>
                <w:sz w:val="11"/>
              </w:rPr>
              <w:t>Caledonian</w:t>
            </w:r>
          </w:p>
        </w:tc>
        <w:tc>
          <w:tcPr>
            <w:tcW w:w="910" w:type="dxa"/>
          </w:tcPr>
          <w:p>
            <w:pPr>
              <w:pStyle w:val="TableParagraph"/>
              <w:ind w:right="177"/>
              <w:jc w:val="right"/>
              <w:rPr>
                <w:sz w:val="11"/>
              </w:rPr>
            </w:pPr>
            <w:r>
              <w:rPr>
                <w:color w:val="231F20"/>
                <w:w w:val="105"/>
                <w:sz w:val="11"/>
              </w:rPr>
              <w:t>90.74</w:t>
            </w:r>
          </w:p>
        </w:tc>
        <w:tc>
          <w:tcPr>
            <w:tcW w:w="364" w:type="dxa"/>
          </w:tcPr>
          <w:p>
            <w:pPr>
              <w:pStyle w:val="TableParagraph"/>
              <w:ind w:right="16"/>
              <w:jc w:val="right"/>
              <w:rPr>
                <w:sz w:val="11"/>
              </w:rPr>
            </w:pPr>
            <w:r>
              <w:rPr>
                <w:color w:val="231F20"/>
                <w:w w:val="105"/>
                <w:sz w:val="11"/>
              </w:rPr>
              <w:t>0.6</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1.5</w:t>
            </w:r>
          </w:p>
        </w:tc>
        <w:tc>
          <w:tcPr>
            <w:tcW w:w="398" w:type="dxa"/>
          </w:tcPr>
          <w:p>
            <w:pPr>
              <w:pStyle w:val="TableParagraph"/>
              <w:ind w:right="37"/>
              <w:jc w:val="right"/>
              <w:rPr>
                <w:sz w:val="11"/>
              </w:rPr>
            </w:pPr>
            <w:r>
              <w:rPr>
                <w:color w:val="231F20"/>
                <w:w w:val="105"/>
                <w:sz w:val="11"/>
              </w:rPr>
              <w:t>1.50</w:t>
            </w:r>
          </w:p>
        </w:tc>
        <w:tc>
          <w:tcPr>
            <w:tcW w:w="464" w:type="dxa"/>
          </w:tcPr>
          <w:p>
            <w:pPr>
              <w:pStyle w:val="TableParagraph"/>
              <w:ind w:left="77" w:right="54"/>
              <w:jc w:val="center"/>
              <w:rPr>
                <w:sz w:val="11"/>
              </w:rPr>
            </w:pPr>
            <w:r>
              <w:rPr>
                <w:color w:val="231F20"/>
                <w:w w:val="105"/>
                <w:sz w:val="11"/>
              </w:rPr>
              <w:t>21.00</w:t>
            </w:r>
          </w:p>
        </w:tc>
        <w:tc>
          <w:tcPr>
            <w:tcW w:w="826" w:type="dxa"/>
          </w:tcPr>
          <w:p>
            <w:pPr>
              <w:pStyle w:val="TableParagraph"/>
              <w:ind w:left="45" w:right="10"/>
              <w:jc w:val="center"/>
              <w:rPr>
                <w:sz w:val="11"/>
              </w:rPr>
            </w:pPr>
            <w:r>
              <w:rPr>
                <w:color w:val="231F20"/>
                <w:w w:val="105"/>
                <w:sz w:val="11"/>
              </w:rPr>
              <w:t>600</w:t>
            </w:r>
          </w:p>
        </w:tc>
      </w:tr>
      <w:tr>
        <w:trPr>
          <w:trHeight w:val="146" w:hRule="atLeast"/>
        </w:trPr>
        <w:tc>
          <w:tcPr>
            <w:tcW w:w="1537" w:type="dxa"/>
          </w:tcPr>
          <w:p>
            <w:pPr>
              <w:pStyle w:val="TableParagraph"/>
              <w:spacing w:line="115" w:lineRule="exact"/>
              <w:ind w:left="22"/>
              <w:rPr>
                <w:sz w:val="11"/>
              </w:rPr>
            </w:pPr>
            <w:r>
              <w:rPr>
                <w:color w:val="231F20"/>
                <w:w w:val="105"/>
                <w:sz w:val="11"/>
              </w:rPr>
              <w:t>Aznalcollar</w:t>
            </w:r>
          </w:p>
        </w:tc>
        <w:tc>
          <w:tcPr>
            <w:tcW w:w="860" w:type="dxa"/>
          </w:tcPr>
          <w:p>
            <w:pPr>
              <w:pStyle w:val="TableParagraph"/>
              <w:spacing w:line="115" w:lineRule="exact"/>
              <w:ind w:left="113"/>
              <w:rPr>
                <w:sz w:val="11"/>
              </w:rPr>
            </w:pPr>
            <w:r>
              <w:rPr>
                <w:color w:val="231F20"/>
                <w:w w:val="105"/>
                <w:sz w:val="11"/>
              </w:rPr>
              <w:t>Spain</w:t>
            </w:r>
          </w:p>
        </w:tc>
        <w:tc>
          <w:tcPr>
            <w:tcW w:w="1652" w:type="dxa"/>
          </w:tcPr>
          <w:p>
            <w:pPr>
              <w:pStyle w:val="TableParagraph"/>
              <w:spacing w:line="115" w:lineRule="exact"/>
              <w:ind w:left="105"/>
              <w:rPr>
                <w:sz w:val="11"/>
              </w:rPr>
            </w:pPr>
            <w:r>
              <w:rPr>
                <w:color w:val="231F20"/>
                <w:w w:val="105"/>
                <w:sz w:val="11"/>
              </w:rPr>
              <w:t>Hercynian</w:t>
            </w:r>
          </w:p>
        </w:tc>
        <w:tc>
          <w:tcPr>
            <w:tcW w:w="910" w:type="dxa"/>
          </w:tcPr>
          <w:p>
            <w:pPr>
              <w:pStyle w:val="TableParagraph"/>
              <w:spacing w:line="115" w:lineRule="exact"/>
              <w:ind w:right="177"/>
              <w:jc w:val="right"/>
              <w:rPr>
                <w:sz w:val="11"/>
              </w:rPr>
            </w:pPr>
            <w:r>
              <w:rPr>
                <w:color w:val="231F20"/>
                <w:w w:val="105"/>
                <w:sz w:val="11"/>
              </w:rPr>
              <w:t>90.00</w:t>
            </w:r>
          </w:p>
        </w:tc>
        <w:tc>
          <w:tcPr>
            <w:tcW w:w="364" w:type="dxa"/>
          </w:tcPr>
          <w:p>
            <w:pPr>
              <w:pStyle w:val="TableParagraph"/>
              <w:spacing w:line="115" w:lineRule="exact"/>
              <w:ind w:right="17"/>
              <w:jc w:val="right"/>
              <w:rPr>
                <w:sz w:val="11"/>
              </w:rPr>
            </w:pPr>
            <w:r>
              <w:rPr>
                <w:color w:val="231F20"/>
                <w:w w:val="105"/>
                <w:sz w:val="11"/>
              </w:rPr>
              <w:t>0.51</w:t>
            </w:r>
          </w:p>
        </w:tc>
        <w:tc>
          <w:tcPr>
            <w:tcW w:w="426" w:type="dxa"/>
          </w:tcPr>
          <w:p>
            <w:pPr>
              <w:pStyle w:val="TableParagraph"/>
              <w:spacing w:line="115" w:lineRule="exact"/>
              <w:ind w:right="59"/>
              <w:jc w:val="right"/>
              <w:rPr>
                <w:sz w:val="11"/>
              </w:rPr>
            </w:pPr>
            <w:r>
              <w:rPr>
                <w:color w:val="231F20"/>
                <w:w w:val="105"/>
                <w:sz w:val="11"/>
              </w:rPr>
              <w:t>0.85</w:t>
            </w:r>
          </w:p>
        </w:tc>
        <w:tc>
          <w:tcPr>
            <w:tcW w:w="357" w:type="dxa"/>
          </w:tcPr>
          <w:p>
            <w:pPr>
              <w:pStyle w:val="TableParagraph"/>
              <w:spacing w:line="115" w:lineRule="exact"/>
              <w:ind w:right="60"/>
              <w:jc w:val="right"/>
              <w:rPr>
                <w:sz w:val="11"/>
              </w:rPr>
            </w:pPr>
            <w:r>
              <w:rPr>
                <w:color w:val="231F20"/>
                <w:w w:val="105"/>
                <w:sz w:val="11"/>
              </w:rPr>
              <w:t>1.8</w:t>
            </w:r>
          </w:p>
        </w:tc>
        <w:tc>
          <w:tcPr>
            <w:tcW w:w="398" w:type="dxa"/>
          </w:tcPr>
          <w:p>
            <w:pPr>
              <w:pStyle w:val="TableParagraph"/>
              <w:spacing w:line="115" w:lineRule="exact"/>
              <w:ind w:right="37"/>
              <w:jc w:val="right"/>
              <w:rPr>
                <w:sz w:val="11"/>
              </w:rPr>
            </w:pPr>
            <w:r>
              <w:rPr>
                <w:color w:val="231F20"/>
                <w:w w:val="105"/>
                <w:sz w:val="11"/>
              </w:rPr>
              <w:t>0.48</w:t>
            </w:r>
          </w:p>
        </w:tc>
        <w:tc>
          <w:tcPr>
            <w:tcW w:w="464" w:type="dxa"/>
          </w:tcPr>
          <w:p>
            <w:pPr>
              <w:pStyle w:val="TableParagraph"/>
              <w:spacing w:line="115" w:lineRule="exact"/>
              <w:ind w:left="77" w:right="54"/>
              <w:jc w:val="center"/>
              <w:rPr>
                <w:sz w:val="11"/>
              </w:rPr>
            </w:pPr>
            <w:r>
              <w:rPr>
                <w:color w:val="231F20"/>
                <w:w w:val="105"/>
                <w:sz w:val="11"/>
              </w:rPr>
              <w:t>37.00</w:t>
            </w:r>
          </w:p>
        </w:tc>
        <w:tc>
          <w:tcPr>
            <w:tcW w:w="826" w:type="dxa"/>
          </w:tcPr>
          <w:p>
            <w:pPr>
              <w:pStyle w:val="TableParagraph"/>
              <w:spacing w:line="115" w:lineRule="exact"/>
              <w:ind w:left="45" w:right="10"/>
              <w:jc w:val="center"/>
              <w:rPr>
                <w:sz w:val="11"/>
              </w:rPr>
            </w:pPr>
            <w:r>
              <w:rPr>
                <w:color w:val="231F20"/>
                <w:w w:val="105"/>
                <w:sz w:val="11"/>
              </w:rPr>
              <w:t>320</w:t>
            </w:r>
          </w:p>
        </w:tc>
      </w:tr>
      <w:tr>
        <w:trPr>
          <w:trHeight w:val="146" w:hRule="atLeast"/>
        </w:trPr>
        <w:tc>
          <w:tcPr>
            <w:tcW w:w="1537" w:type="dxa"/>
          </w:tcPr>
          <w:p>
            <w:pPr>
              <w:pStyle w:val="TableParagraph"/>
              <w:ind w:left="22"/>
              <w:rPr>
                <w:sz w:val="11"/>
              </w:rPr>
            </w:pPr>
            <w:r>
              <w:rPr>
                <w:color w:val="ED2024"/>
                <w:w w:val="105"/>
                <w:sz w:val="11"/>
              </w:rPr>
              <w:t>LaRonde (incl.LaRonde-II)</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Abitibi (Kenoran)</w:t>
            </w:r>
          </w:p>
        </w:tc>
        <w:tc>
          <w:tcPr>
            <w:tcW w:w="910" w:type="dxa"/>
          </w:tcPr>
          <w:p>
            <w:pPr>
              <w:pStyle w:val="TableParagraph"/>
              <w:ind w:right="177"/>
              <w:jc w:val="right"/>
              <w:rPr>
                <w:sz w:val="11"/>
              </w:rPr>
            </w:pPr>
            <w:r>
              <w:rPr>
                <w:color w:val="ED2024"/>
                <w:w w:val="105"/>
                <w:sz w:val="11"/>
              </w:rPr>
              <w:t>88.00</w:t>
            </w:r>
          </w:p>
        </w:tc>
        <w:tc>
          <w:tcPr>
            <w:tcW w:w="364" w:type="dxa"/>
          </w:tcPr>
          <w:p>
            <w:pPr>
              <w:pStyle w:val="TableParagraph"/>
              <w:ind w:right="16"/>
              <w:jc w:val="right"/>
              <w:rPr>
                <w:sz w:val="11"/>
              </w:rPr>
            </w:pPr>
            <w:r>
              <w:rPr>
                <w:color w:val="ED2024"/>
                <w:w w:val="105"/>
                <w:sz w:val="11"/>
              </w:rPr>
              <w:t>0.3</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ED2024"/>
                <w:w w:val="105"/>
                <w:sz w:val="11"/>
              </w:rPr>
              <w:t>1.7</w:t>
            </w:r>
          </w:p>
        </w:tc>
        <w:tc>
          <w:tcPr>
            <w:tcW w:w="398" w:type="dxa"/>
          </w:tcPr>
          <w:p>
            <w:pPr>
              <w:pStyle w:val="TableParagraph"/>
              <w:ind w:right="37"/>
              <w:jc w:val="right"/>
              <w:rPr>
                <w:sz w:val="11"/>
              </w:rPr>
            </w:pPr>
            <w:r>
              <w:rPr>
                <w:color w:val="ED2024"/>
                <w:w w:val="105"/>
                <w:sz w:val="11"/>
              </w:rPr>
              <w:t>5.07</w:t>
            </w:r>
          </w:p>
        </w:tc>
        <w:tc>
          <w:tcPr>
            <w:tcW w:w="464" w:type="dxa"/>
          </w:tcPr>
          <w:p>
            <w:pPr>
              <w:pStyle w:val="TableParagraph"/>
              <w:ind w:left="77" w:right="54"/>
              <w:jc w:val="center"/>
              <w:rPr>
                <w:sz w:val="11"/>
              </w:rPr>
            </w:pPr>
            <w:r>
              <w:rPr>
                <w:color w:val="ED2024"/>
                <w:w w:val="105"/>
                <w:sz w:val="11"/>
              </w:rPr>
              <w:t>40.90</w:t>
            </w:r>
          </w:p>
        </w:tc>
        <w:tc>
          <w:tcPr>
            <w:tcW w:w="826" w:type="dxa"/>
          </w:tcPr>
          <w:p>
            <w:pPr>
              <w:pStyle w:val="TableParagraph"/>
              <w:ind w:left="45" w:right="10"/>
              <w:jc w:val="center"/>
              <w:rPr>
                <w:sz w:val="11"/>
              </w:rPr>
            </w:pPr>
            <w:r>
              <w:rPr>
                <w:color w:val="ED2024"/>
                <w:w w:val="105"/>
                <w:sz w:val="11"/>
              </w:rPr>
              <w:t>2710</w:t>
            </w:r>
          </w:p>
        </w:tc>
      </w:tr>
      <w:tr>
        <w:trPr>
          <w:trHeight w:val="146" w:hRule="atLeast"/>
        </w:trPr>
        <w:tc>
          <w:tcPr>
            <w:tcW w:w="1537" w:type="dxa"/>
          </w:tcPr>
          <w:p>
            <w:pPr>
              <w:pStyle w:val="TableParagraph"/>
              <w:ind w:left="22"/>
              <w:rPr>
                <w:sz w:val="11"/>
              </w:rPr>
            </w:pPr>
            <w:r>
              <w:rPr>
                <w:color w:val="231F20"/>
                <w:w w:val="105"/>
                <w:sz w:val="11"/>
              </w:rPr>
              <w:t>Skorpion</w:t>
            </w:r>
          </w:p>
        </w:tc>
        <w:tc>
          <w:tcPr>
            <w:tcW w:w="860" w:type="dxa"/>
          </w:tcPr>
          <w:p>
            <w:pPr>
              <w:pStyle w:val="TableParagraph"/>
              <w:ind w:left="114"/>
              <w:rPr>
                <w:sz w:val="11"/>
              </w:rPr>
            </w:pPr>
            <w:r>
              <w:rPr>
                <w:color w:val="231F20"/>
                <w:w w:val="105"/>
                <w:sz w:val="11"/>
              </w:rPr>
              <w:t>Namibia</w:t>
            </w:r>
          </w:p>
        </w:tc>
        <w:tc>
          <w:tcPr>
            <w:tcW w:w="1652" w:type="dxa"/>
          </w:tcPr>
          <w:p>
            <w:pPr>
              <w:pStyle w:val="TableParagraph"/>
              <w:ind w:left="105"/>
              <w:rPr>
                <w:sz w:val="11"/>
              </w:rPr>
            </w:pPr>
            <w:r>
              <w:rPr>
                <w:color w:val="231F20"/>
                <w:w w:val="105"/>
                <w:sz w:val="11"/>
              </w:rPr>
              <w:t>Gariep</w:t>
            </w:r>
          </w:p>
        </w:tc>
        <w:tc>
          <w:tcPr>
            <w:tcW w:w="910" w:type="dxa"/>
          </w:tcPr>
          <w:p>
            <w:pPr>
              <w:pStyle w:val="TableParagraph"/>
              <w:ind w:right="177"/>
              <w:jc w:val="right"/>
              <w:rPr>
                <w:sz w:val="11"/>
              </w:rPr>
            </w:pPr>
            <w:r>
              <w:rPr>
                <w:color w:val="231F20"/>
                <w:w w:val="105"/>
                <w:sz w:val="11"/>
              </w:rPr>
              <w:t>85.00</w:t>
            </w:r>
          </w:p>
        </w:tc>
        <w:tc>
          <w:tcPr>
            <w:tcW w:w="364" w:type="dxa"/>
          </w:tcPr>
          <w:p>
            <w:pPr>
              <w:pStyle w:val="TableParagraph"/>
              <w:spacing w:line="240" w:lineRule="auto" w:before="0"/>
              <w:rPr>
                <w:rFonts w:ascii="Times New Roman"/>
                <w:sz w:val="8"/>
              </w:rPr>
            </w:pPr>
          </w:p>
        </w:tc>
        <w:tc>
          <w:tcPr>
            <w:tcW w:w="426" w:type="dxa"/>
          </w:tcPr>
          <w:p>
            <w:pPr>
              <w:pStyle w:val="TableParagraph"/>
              <w:ind w:right="59"/>
              <w:jc w:val="right"/>
              <w:rPr>
                <w:sz w:val="11"/>
              </w:rPr>
            </w:pPr>
            <w:r>
              <w:rPr>
                <w:color w:val="231F20"/>
                <w:w w:val="105"/>
                <w:sz w:val="11"/>
              </w:rPr>
              <w:t>0.71</w:t>
            </w:r>
          </w:p>
        </w:tc>
        <w:tc>
          <w:tcPr>
            <w:tcW w:w="357" w:type="dxa"/>
          </w:tcPr>
          <w:p>
            <w:pPr>
              <w:pStyle w:val="TableParagraph"/>
              <w:ind w:right="60"/>
              <w:jc w:val="right"/>
              <w:rPr>
                <w:sz w:val="11"/>
              </w:rPr>
            </w:pPr>
            <w:r>
              <w:rPr>
                <w:color w:val="231F20"/>
                <w:w w:val="105"/>
                <w:sz w:val="11"/>
              </w:rPr>
              <w:t>8.05</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6" w:right="10"/>
              <w:jc w:val="center"/>
              <w:rPr>
                <w:sz w:val="11"/>
              </w:rPr>
            </w:pPr>
            <w:r>
              <w:rPr>
                <w:color w:val="231F20"/>
                <w:w w:val="105"/>
                <w:sz w:val="11"/>
              </w:rPr>
              <w:t>752</w:t>
            </w:r>
          </w:p>
        </w:tc>
      </w:tr>
      <w:tr>
        <w:trPr>
          <w:trHeight w:val="146" w:hRule="atLeast"/>
        </w:trPr>
        <w:tc>
          <w:tcPr>
            <w:tcW w:w="1537" w:type="dxa"/>
          </w:tcPr>
          <w:p>
            <w:pPr>
              <w:pStyle w:val="TableParagraph"/>
              <w:ind w:left="22"/>
              <w:rPr>
                <w:sz w:val="11"/>
              </w:rPr>
            </w:pPr>
            <w:r>
              <w:rPr>
                <w:color w:val="231F20"/>
                <w:w w:val="105"/>
                <w:sz w:val="11"/>
              </w:rPr>
              <w:t>Podolsk</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5"/>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84.10</w:t>
            </w:r>
          </w:p>
        </w:tc>
        <w:tc>
          <w:tcPr>
            <w:tcW w:w="364" w:type="dxa"/>
          </w:tcPr>
          <w:p>
            <w:pPr>
              <w:pStyle w:val="TableParagraph"/>
              <w:ind w:right="16"/>
              <w:jc w:val="right"/>
              <w:rPr>
                <w:sz w:val="11"/>
              </w:rPr>
            </w:pPr>
            <w:r>
              <w:rPr>
                <w:color w:val="231F20"/>
                <w:w w:val="105"/>
                <w:sz w:val="11"/>
              </w:rPr>
              <w:t>2.01</w:t>
            </w:r>
          </w:p>
        </w:tc>
        <w:tc>
          <w:tcPr>
            <w:tcW w:w="426" w:type="dxa"/>
          </w:tcPr>
          <w:p>
            <w:pPr>
              <w:pStyle w:val="TableParagraph"/>
              <w:ind w:right="59"/>
              <w:jc w:val="right"/>
              <w:rPr>
                <w:sz w:val="11"/>
              </w:rPr>
            </w:pPr>
            <w:r>
              <w:rPr>
                <w:color w:val="231F20"/>
                <w:w w:val="105"/>
                <w:sz w:val="11"/>
              </w:rPr>
              <w:t>0.13</w:t>
            </w:r>
          </w:p>
        </w:tc>
        <w:tc>
          <w:tcPr>
            <w:tcW w:w="357" w:type="dxa"/>
          </w:tcPr>
          <w:p>
            <w:pPr>
              <w:pStyle w:val="TableParagraph"/>
              <w:ind w:right="60"/>
              <w:jc w:val="right"/>
              <w:rPr>
                <w:sz w:val="11"/>
              </w:rPr>
            </w:pPr>
            <w:r>
              <w:rPr>
                <w:color w:val="231F20"/>
                <w:w w:val="105"/>
                <w:sz w:val="11"/>
              </w:rPr>
              <w:t>1.3</w:t>
            </w:r>
          </w:p>
        </w:tc>
        <w:tc>
          <w:tcPr>
            <w:tcW w:w="398" w:type="dxa"/>
          </w:tcPr>
          <w:p>
            <w:pPr>
              <w:pStyle w:val="TableParagraph"/>
              <w:ind w:right="37"/>
              <w:jc w:val="right"/>
              <w:rPr>
                <w:sz w:val="11"/>
              </w:rPr>
            </w:pPr>
            <w:r>
              <w:rPr>
                <w:color w:val="231F20"/>
                <w:w w:val="105"/>
                <w:sz w:val="11"/>
              </w:rPr>
              <w:t>1.49</w:t>
            </w:r>
          </w:p>
        </w:tc>
        <w:tc>
          <w:tcPr>
            <w:tcW w:w="464" w:type="dxa"/>
          </w:tcPr>
          <w:p>
            <w:pPr>
              <w:pStyle w:val="TableParagraph"/>
              <w:ind w:left="77" w:right="54"/>
              <w:jc w:val="center"/>
              <w:rPr>
                <w:sz w:val="11"/>
              </w:rPr>
            </w:pPr>
            <w:r>
              <w:rPr>
                <w:color w:val="231F20"/>
                <w:w w:val="105"/>
                <w:sz w:val="11"/>
              </w:rPr>
              <w:t>27.60</w:t>
            </w:r>
          </w:p>
        </w:tc>
        <w:tc>
          <w:tcPr>
            <w:tcW w:w="826" w:type="dxa"/>
          </w:tcPr>
          <w:p>
            <w:pPr>
              <w:pStyle w:val="TableParagraph"/>
              <w:ind w:left="45" w:right="10"/>
              <w:jc w:val="center"/>
              <w:rPr>
                <w:sz w:val="11"/>
              </w:rPr>
            </w:pPr>
            <w:r>
              <w:rPr>
                <w:color w:val="231F20"/>
                <w:w w:val="105"/>
                <w:sz w:val="11"/>
              </w:rPr>
              <w:t>392</w:t>
            </w:r>
          </w:p>
        </w:tc>
      </w:tr>
      <w:tr>
        <w:trPr>
          <w:trHeight w:val="146" w:hRule="atLeast"/>
        </w:trPr>
        <w:tc>
          <w:tcPr>
            <w:tcW w:w="1537" w:type="dxa"/>
          </w:tcPr>
          <w:p>
            <w:pPr>
              <w:pStyle w:val="TableParagraph"/>
              <w:ind w:left="23"/>
              <w:rPr>
                <w:sz w:val="11"/>
              </w:rPr>
            </w:pPr>
            <w:r>
              <w:rPr>
                <w:color w:val="231F20"/>
                <w:w w:val="105"/>
                <w:sz w:val="11"/>
              </w:rPr>
              <w:t>Murgul</w:t>
            </w:r>
          </w:p>
        </w:tc>
        <w:tc>
          <w:tcPr>
            <w:tcW w:w="860" w:type="dxa"/>
          </w:tcPr>
          <w:p>
            <w:pPr>
              <w:pStyle w:val="TableParagraph"/>
              <w:ind w:left="114"/>
              <w:rPr>
                <w:sz w:val="11"/>
              </w:rPr>
            </w:pPr>
            <w:r>
              <w:rPr>
                <w:color w:val="231F20"/>
                <w:w w:val="105"/>
                <w:sz w:val="11"/>
              </w:rPr>
              <w:t>Turkey</w:t>
            </w:r>
          </w:p>
        </w:tc>
        <w:tc>
          <w:tcPr>
            <w:tcW w:w="1652" w:type="dxa"/>
          </w:tcPr>
          <w:p>
            <w:pPr>
              <w:pStyle w:val="TableParagraph"/>
              <w:ind w:left="106"/>
              <w:rPr>
                <w:sz w:val="11"/>
              </w:rPr>
            </w:pPr>
            <w:r>
              <w:rPr>
                <w:color w:val="231F20"/>
                <w:w w:val="105"/>
                <w:sz w:val="11"/>
              </w:rPr>
              <w:t>Pontides (Tethyan)</w:t>
            </w:r>
          </w:p>
        </w:tc>
        <w:tc>
          <w:tcPr>
            <w:tcW w:w="910" w:type="dxa"/>
          </w:tcPr>
          <w:p>
            <w:pPr>
              <w:pStyle w:val="TableParagraph"/>
              <w:ind w:right="177"/>
              <w:jc w:val="right"/>
              <w:rPr>
                <w:sz w:val="11"/>
              </w:rPr>
            </w:pPr>
            <w:r>
              <w:rPr>
                <w:color w:val="231F20"/>
                <w:w w:val="105"/>
                <w:sz w:val="11"/>
              </w:rPr>
              <w:t>83.14</w:t>
            </w:r>
          </w:p>
        </w:tc>
        <w:tc>
          <w:tcPr>
            <w:tcW w:w="364" w:type="dxa"/>
          </w:tcPr>
          <w:p>
            <w:pPr>
              <w:pStyle w:val="TableParagraph"/>
              <w:ind w:right="16"/>
              <w:jc w:val="right"/>
              <w:rPr>
                <w:sz w:val="11"/>
              </w:rPr>
            </w:pPr>
            <w:r>
              <w:rPr>
                <w:color w:val="231F20"/>
                <w:w w:val="105"/>
                <w:sz w:val="11"/>
              </w:rPr>
              <w:t>0.76</w:t>
            </w:r>
          </w:p>
        </w:tc>
        <w:tc>
          <w:tcPr>
            <w:tcW w:w="426" w:type="dxa"/>
          </w:tcPr>
          <w:p>
            <w:pPr>
              <w:pStyle w:val="TableParagraph"/>
              <w:ind w:right="59"/>
              <w:jc w:val="right"/>
              <w:rPr>
                <w:sz w:val="11"/>
              </w:rPr>
            </w:pPr>
            <w:r>
              <w:rPr>
                <w:color w:val="231F20"/>
                <w:w w:val="105"/>
                <w:sz w:val="11"/>
              </w:rPr>
              <w:t>0.05</w:t>
            </w:r>
          </w:p>
        </w:tc>
        <w:tc>
          <w:tcPr>
            <w:tcW w:w="357" w:type="dxa"/>
          </w:tcPr>
          <w:p>
            <w:pPr>
              <w:pStyle w:val="TableParagraph"/>
              <w:ind w:right="60"/>
              <w:jc w:val="right"/>
              <w:rPr>
                <w:sz w:val="11"/>
              </w:rPr>
            </w:pPr>
            <w:r>
              <w:rPr>
                <w:color w:val="231F20"/>
                <w:w w:val="105"/>
                <w:sz w:val="11"/>
              </w:rPr>
              <w:t>0.03</w:t>
            </w:r>
          </w:p>
        </w:tc>
        <w:tc>
          <w:tcPr>
            <w:tcW w:w="398" w:type="dxa"/>
          </w:tcPr>
          <w:p>
            <w:pPr>
              <w:pStyle w:val="TableParagraph"/>
              <w:ind w:right="36"/>
              <w:jc w:val="right"/>
              <w:rPr>
                <w:sz w:val="11"/>
              </w:rPr>
            </w:pPr>
            <w:r>
              <w:rPr>
                <w:color w:val="231F20"/>
                <w:w w:val="105"/>
                <w:sz w:val="11"/>
              </w:rPr>
              <w:t>0.05</w:t>
            </w:r>
          </w:p>
        </w:tc>
        <w:tc>
          <w:tcPr>
            <w:tcW w:w="464" w:type="dxa"/>
          </w:tcPr>
          <w:p>
            <w:pPr>
              <w:pStyle w:val="TableParagraph"/>
              <w:ind w:left="144" w:right="54"/>
              <w:jc w:val="center"/>
              <w:rPr>
                <w:sz w:val="11"/>
              </w:rPr>
            </w:pPr>
            <w:r>
              <w:rPr>
                <w:color w:val="231F20"/>
                <w:w w:val="105"/>
                <w:sz w:val="11"/>
              </w:rPr>
              <w:t>3.70</w:t>
            </w:r>
          </w:p>
        </w:tc>
        <w:tc>
          <w:tcPr>
            <w:tcW w:w="826" w:type="dxa"/>
          </w:tcPr>
          <w:p>
            <w:pPr>
              <w:pStyle w:val="TableParagraph"/>
              <w:ind w:left="46" w:right="10"/>
              <w:jc w:val="center"/>
              <w:rPr>
                <w:sz w:val="11"/>
              </w:rPr>
            </w:pPr>
            <w:r>
              <w:rPr>
                <w:color w:val="231F20"/>
                <w:w w:val="105"/>
                <w:sz w:val="11"/>
              </w:rPr>
              <w:t>175</w:t>
            </w:r>
          </w:p>
        </w:tc>
      </w:tr>
      <w:tr>
        <w:trPr>
          <w:trHeight w:val="146" w:hRule="atLeast"/>
        </w:trPr>
        <w:tc>
          <w:tcPr>
            <w:tcW w:w="1537" w:type="dxa"/>
          </w:tcPr>
          <w:p>
            <w:pPr>
              <w:pStyle w:val="TableParagraph"/>
              <w:ind w:left="23"/>
              <w:rPr>
                <w:sz w:val="11"/>
              </w:rPr>
            </w:pPr>
            <w:r>
              <w:rPr>
                <w:color w:val="ED2024"/>
                <w:w w:val="105"/>
                <w:sz w:val="11"/>
              </w:rPr>
              <w:t>Ruttan</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Trans-Hudson</w:t>
            </w:r>
          </w:p>
        </w:tc>
        <w:tc>
          <w:tcPr>
            <w:tcW w:w="910" w:type="dxa"/>
          </w:tcPr>
          <w:p>
            <w:pPr>
              <w:pStyle w:val="TableParagraph"/>
              <w:ind w:right="176"/>
              <w:jc w:val="right"/>
              <w:rPr>
                <w:sz w:val="11"/>
              </w:rPr>
            </w:pPr>
            <w:r>
              <w:rPr>
                <w:color w:val="ED2024"/>
                <w:w w:val="105"/>
                <w:sz w:val="11"/>
              </w:rPr>
              <w:t>82.80</w:t>
            </w:r>
          </w:p>
        </w:tc>
        <w:tc>
          <w:tcPr>
            <w:tcW w:w="364" w:type="dxa"/>
          </w:tcPr>
          <w:p>
            <w:pPr>
              <w:pStyle w:val="TableParagraph"/>
              <w:ind w:right="16"/>
              <w:jc w:val="right"/>
              <w:rPr>
                <w:sz w:val="11"/>
              </w:rPr>
            </w:pPr>
            <w:r>
              <w:rPr>
                <w:color w:val="ED2024"/>
                <w:w w:val="105"/>
                <w:sz w:val="11"/>
              </w:rPr>
              <w:t>1.37</w:t>
            </w:r>
          </w:p>
        </w:tc>
        <w:tc>
          <w:tcPr>
            <w:tcW w:w="426" w:type="dxa"/>
          </w:tcPr>
          <w:p>
            <w:pPr>
              <w:pStyle w:val="TableParagraph"/>
              <w:ind w:right="59"/>
              <w:jc w:val="right"/>
              <w:rPr>
                <w:sz w:val="11"/>
              </w:rPr>
            </w:pPr>
            <w:r>
              <w:rPr>
                <w:color w:val="ED2024"/>
                <w:w w:val="105"/>
                <w:sz w:val="11"/>
              </w:rPr>
              <w:t>0.08</w:t>
            </w:r>
          </w:p>
        </w:tc>
        <w:tc>
          <w:tcPr>
            <w:tcW w:w="357" w:type="dxa"/>
          </w:tcPr>
          <w:p>
            <w:pPr>
              <w:pStyle w:val="TableParagraph"/>
              <w:ind w:right="60"/>
              <w:jc w:val="right"/>
              <w:rPr>
                <w:sz w:val="11"/>
              </w:rPr>
            </w:pPr>
            <w:r>
              <w:rPr>
                <w:color w:val="ED2024"/>
                <w:w w:val="105"/>
                <w:sz w:val="11"/>
              </w:rPr>
              <w:t>1.63</w:t>
            </w:r>
          </w:p>
        </w:tc>
        <w:tc>
          <w:tcPr>
            <w:tcW w:w="398" w:type="dxa"/>
          </w:tcPr>
          <w:p>
            <w:pPr>
              <w:pStyle w:val="TableParagraph"/>
              <w:ind w:right="36"/>
              <w:jc w:val="right"/>
              <w:rPr>
                <w:sz w:val="11"/>
              </w:rPr>
            </w:pPr>
            <w:r>
              <w:rPr>
                <w:color w:val="ED2024"/>
                <w:w w:val="105"/>
                <w:sz w:val="11"/>
              </w:rPr>
              <w:t>0.49</w:t>
            </w:r>
          </w:p>
        </w:tc>
        <w:tc>
          <w:tcPr>
            <w:tcW w:w="464" w:type="dxa"/>
          </w:tcPr>
          <w:p>
            <w:pPr>
              <w:pStyle w:val="TableParagraph"/>
              <w:ind w:left="78" w:right="54"/>
              <w:jc w:val="center"/>
              <w:rPr>
                <w:sz w:val="11"/>
              </w:rPr>
            </w:pPr>
            <w:r>
              <w:rPr>
                <w:color w:val="ED2024"/>
                <w:w w:val="105"/>
                <w:sz w:val="11"/>
              </w:rPr>
              <w:t>13.11</w:t>
            </w:r>
          </w:p>
        </w:tc>
        <w:tc>
          <w:tcPr>
            <w:tcW w:w="826" w:type="dxa"/>
          </w:tcPr>
          <w:p>
            <w:pPr>
              <w:pStyle w:val="TableParagraph"/>
              <w:ind w:left="46" w:right="10"/>
              <w:jc w:val="center"/>
              <w:rPr>
                <w:sz w:val="11"/>
              </w:rPr>
            </w:pPr>
            <w:r>
              <w:rPr>
                <w:color w:val="ED2024"/>
                <w:w w:val="105"/>
                <w:sz w:val="11"/>
              </w:rPr>
              <w:t>1900</w:t>
            </w:r>
          </w:p>
        </w:tc>
      </w:tr>
      <w:tr>
        <w:trPr>
          <w:trHeight w:val="146" w:hRule="atLeast"/>
        </w:trPr>
        <w:tc>
          <w:tcPr>
            <w:tcW w:w="1537" w:type="dxa"/>
          </w:tcPr>
          <w:p>
            <w:pPr>
              <w:pStyle w:val="TableParagraph"/>
              <w:ind w:left="23"/>
              <w:rPr>
                <w:sz w:val="11"/>
              </w:rPr>
            </w:pPr>
            <w:r>
              <w:rPr>
                <w:color w:val="231F20"/>
                <w:w w:val="105"/>
                <w:sz w:val="11"/>
              </w:rPr>
              <w:t>Tambo Grande 3</w:t>
            </w:r>
          </w:p>
        </w:tc>
        <w:tc>
          <w:tcPr>
            <w:tcW w:w="860" w:type="dxa"/>
          </w:tcPr>
          <w:p>
            <w:pPr>
              <w:pStyle w:val="TableParagraph"/>
              <w:ind w:left="114"/>
              <w:rPr>
                <w:sz w:val="11"/>
              </w:rPr>
            </w:pPr>
            <w:r>
              <w:rPr>
                <w:color w:val="231F20"/>
                <w:w w:val="105"/>
                <w:sz w:val="11"/>
              </w:rPr>
              <w:t>Peru</w:t>
            </w:r>
          </w:p>
        </w:tc>
        <w:tc>
          <w:tcPr>
            <w:tcW w:w="1652" w:type="dxa"/>
          </w:tcPr>
          <w:p>
            <w:pPr>
              <w:pStyle w:val="TableParagraph"/>
              <w:ind w:left="106"/>
              <w:rPr>
                <w:sz w:val="11"/>
              </w:rPr>
            </w:pPr>
            <w:r>
              <w:rPr>
                <w:color w:val="231F20"/>
                <w:w w:val="105"/>
                <w:sz w:val="11"/>
              </w:rPr>
              <w:t>S.Cordilleran</w:t>
            </w:r>
          </w:p>
        </w:tc>
        <w:tc>
          <w:tcPr>
            <w:tcW w:w="910" w:type="dxa"/>
          </w:tcPr>
          <w:p>
            <w:pPr>
              <w:pStyle w:val="TableParagraph"/>
              <w:ind w:right="177"/>
              <w:jc w:val="right"/>
              <w:rPr>
                <w:sz w:val="11"/>
              </w:rPr>
            </w:pPr>
            <w:r>
              <w:rPr>
                <w:color w:val="231F20"/>
                <w:w w:val="105"/>
                <w:sz w:val="11"/>
              </w:rPr>
              <w:t>82.00</w:t>
            </w:r>
          </w:p>
        </w:tc>
        <w:tc>
          <w:tcPr>
            <w:tcW w:w="364" w:type="dxa"/>
          </w:tcPr>
          <w:p>
            <w:pPr>
              <w:pStyle w:val="TableParagraph"/>
              <w:ind w:right="16"/>
              <w:jc w:val="right"/>
              <w:rPr>
                <w:sz w:val="11"/>
              </w:rPr>
            </w:pPr>
            <w:r>
              <w:rPr>
                <w:color w:val="231F20"/>
                <w:w w:val="106"/>
                <w:sz w:val="11"/>
              </w:rPr>
              <w:t>1</w:t>
            </w:r>
          </w:p>
        </w:tc>
        <w:tc>
          <w:tcPr>
            <w:tcW w:w="426" w:type="dxa"/>
          </w:tcPr>
          <w:p>
            <w:pPr>
              <w:pStyle w:val="TableParagraph"/>
              <w:ind w:right="58"/>
              <w:jc w:val="right"/>
              <w:rPr>
                <w:sz w:val="11"/>
              </w:rPr>
            </w:pPr>
            <w:r>
              <w:rPr>
                <w:color w:val="231F20"/>
                <w:w w:val="105"/>
                <w:sz w:val="11"/>
              </w:rPr>
              <w:t>0.3</w:t>
            </w:r>
          </w:p>
        </w:tc>
        <w:tc>
          <w:tcPr>
            <w:tcW w:w="357" w:type="dxa"/>
          </w:tcPr>
          <w:p>
            <w:pPr>
              <w:pStyle w:val="TableParagraph"/>
              <w:ind w:right="60"/>
              <w:jc w:val="right"/>
              <w:rPr>
                <w:sz w:val="11"/>
              </w:rPr>
            </w:pPr>
            <w:r>
              <w:rPr>
                <w:color w:val="231F20"/>
                <w:w w:val="105"/>
                <w:sz w:val="11"/>
              </w:rPr>
              <w:t>1.4</w:t>
            </w:r>
          </w:p>
        </w:tc>
        <w:tc>
          <w:tcPr>
            <w:tcW w:w="398" w:type="dxa"/>
          </w:tcPr>
          <w:p>
            <w:pPr>
              <w:pStyle w:val="TableParagraph"/>
              <w:ind w:right="36"/>
              <w:jc w:val="right"/>
              <w:rPr>
                <w:sz w:val="11"/>
              </w:rPr>
            </w:pPr>
            <w:r>
              <w:rPr>
                <w:color w:val="231F20"/>
                <w:w w:val="105"/>
                <w:sz w:val="11"/>
              </w:rPr>
              <w:t>0.80</w:t>
            </w:r>
          </w:p>
        </w:tc>
        <w:tc>
          <w:tcPr>
            <w:tcW w:w="464" w:type="dxa"/>
          </w:tcPr>
          <w:p>
            <w:pPr>
              <w:pStyle w:val="TableParagraph"/>
              <w:ind w:left="78" w:right="54"/>
              <w:jc w:val="center"/>
              <w:rPr>
                <w:sz w:val="11"/>
              </w:rPr>
            </w:pPr>
            <w:r>
              <w:rPr>
                <w:color w:val="231F20"/>
                <w:w w:val="105"/>
                <w:sz w:val="11"/>
              </w:rPr>
              <w:t>25.00</w:t>
            </w:r>
          </w:p>
        </w:tc>
        <w:tc>
          <w:tcPr>
            <w:tcW w:w="826" w:type="dxa"/>
          </w:tcPr>
          <w:p>
            <w:pPr>
              <w:pStyle w:val="TableParagraph"/>
              <w:ind w:left="46" w:right="10"/>
              <w:jc w:val="center"/>
              <w:rPr>
                <w:sz w:val="11"/>
              </w:rPr>
            </w:pPr>
            <w:r>
              <w:rPr>
                <w:color w:val="231F20"/>
                <w:w w:val="105"/>
                <w:sz w:val="11"/>
              </w:rPr>
              <w:t>104</w:t>
            </w:r>
          </w:p>
        </w:tc>
      </w:tr>
      <w:tr>
        <w:trPr>
          <w:trHeight w:val="146" w:hRule="atLeast"/>
        </w:trPr>
        <w:tc>
          <w:tcPr>
            <w:tcW w:w="1537" w:type="dxa"/>
          </w:tcPr>
          <w:p>
            <w:pPr>
              <w:pStyle w:val="TableParagraph"/>
              <w:ind w:left="23"/>
              <w:rPr>
                <w:sz w:val="11"/>
              </w:rPr>
            </w:pPr>
            <w:r>
              <w:rPr>
                <w:color w:val="231F20"/>
                <w:w w:val="105"/>
                <w:sz w:val="11"/>
              </w:rPr>
              <w:t>San Nicolas</w:t>
            </w:r>
          </w:p>
        </w:tc>
        <w:tc>
          <w:tcPr>
            <w:tcW w:w="860" w:type="dxa"/>
          </w:tcPr>
          <w:p>
            <w:pPr>
              <w:pStyle w:val="TableParagraph"/>
              <w:ind w:left="114"/>
              <w:rPr>
                <w:sz w:val="11"/>
              </w:rPr>
            </w:pPr>
            <w:r>
              <w:rPr>
                <w:color w:val="231F20"/>
                <w:w w:val="105"/>
                <w:sz w:val="11"/>
              </w:rPr>
              <w:t>Mexico</w:t>
            </w:r>
          </w:p>
        </w:tc>
        <w:tc>
          <w:tcPr>
            <w:tcW w:w="1652" w:type="dxa"/>
          </w:tcPr>
          <w:p>
            <w:pPr>
              <w:pStyle w:val="TableParagraph"/>
              <w:ind w:left="106"/>
              <w:rPr>
                <w:sz w:val="11"/>
              </w:rPr>
            </w:pPr>
            <w:r>
              <w:rPr>
                <w:color w:val="231F20"/>
                <w:w w:val="105"/>
                <w:sz w:val="11"/>
              </w:rPr>
              <w:t>C.Cordilleran</w:t>
            </w:r>
          </w:p>
        </w:tc>
        <w:tc>
          <w:tcPr>
            <w:tcW w:w="910" w:type="dxa"/>
          </w:tcPr>
          <w:p>
            <w:pPr>
              <w:pStyle w:val="TableParagraph"/>
              <w:ind w:right="177"/>
              <w:jc w:val="right"/>
              <w:rPr>
                <w:sz w:val="11"/>
              </w:rPr>
            </w:pPr>
            <w:r>
              <w:rPr>
                <w:color w:val="231F20"/>
                <w:w w:val="105"/>
                <w:sz w:val="11"/>
              </w:rPr>
              <w:t>79.90</w:t>
            </w:r>
          </w:p>
        </w:tc>
        <w:tc>
          <w:tcPr>
            <w:tcW w:w="364" w:type="dxa"/>
          </w:tcPr>
          <w:p>
            <w:pPr>
              <w:pStyle w:val="TableParagraph"/>
              <w:ind w:right="16"/>
              <w:jc w:val="right"/>
              <w:rPr>
                <w:sz w:val="11"/>
              </w:rPr>
            </w:pPr>
            <w:r>
              <w:rPr>
                <w:color w:val="231F20"/>
                <w:w w:val="105"/>
                <w:sz w:val="11"/>
              </w:rPr>
              <w:t>1.34</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2.27</w:t>
            </w:r>
          </w:p>
        </w:tc>
        <w:tc>
          <w:tcPr>
            <w:tcW w:w="398" w:type="dxa"/>
          </w:tcPr>
          <w:p>
            <w:pPr>
              <w:pStyle w:val="TableParagraph"/>
              <w:ind w:right="37"/>
              <w:jc w:val="right"/>
              <w:rPr>
                <w:sz w:val="11"/>
              </w:rPr>
            </w:pPr>
            <w:r>
              <w:rPr>
                <w:color w:val="231F20"/>
                <w:w w:val="105"/>
                <w:sz w:val="11"/>
              </w:rPr>
              <w:t>0.53</w:t>
            </w:r>
          </w:p>
        </w:tc>
        <w:tc>
          <w:tcPr>
            <w:tcW w:w="464" w:type="dxa"/>
          </w:tcPr>
          <w:p>
            <w:pPr>
              <w:pStyle w:val="TableParagraph"/>
              <w:ind w:left="78" w:right="54"/>
              <w:jc w:val="center"/>
              <w:rPr>
                <w:sz w:val="11"/>
              </w:rPr>
            </w:pPr>
            <w:r>
              <w:rPr>
                <w:color w:val="231F20"/>
                <w:w w:val="105"/>
                <w:sz w:val="11"/>
              </w:rPr>
              <w:t>30.00</w:t>
            </w:r>
          </w:p>
        </w:tc>
        <w:tc>
          <w:tcPr>
            <w:tcW w:w="826" w:type="dxa"/>
          </w:tcPr>
          <w:p>
            <w:pPr>
              <w:pStyle w:val="TableParagraph"/>
              <w:ind w:left="46" w:right="10"/>
              <w:jc w:val="center"/>
              <w:rPr>
                <w:sz w:val="11"/>
              </w:rPr>
            </w:pPr>
            <w:r>
              <w:rPr>
                <w:color w:val="231F20"/>
                <w:w w:val="105"/>
                <w:sz w:val="11"/>
              </w:rPr>
              <w:t>136</w:t>
            </w:r>
          </w:p>
        </w:tc>
      </w:tr>
      <w:tr>
        <w:trPr>
          <w:trHeight w:val="150" w:hRule="atLeast"/>
        </w:trPr>
        <w:tc>
          <w:tcPr>
            <w:tcW w:w="1537" w:type="dxa"/>
          </w:tcPr>
          <w:p>
            <w:pPr>
              <w:pStyle w:val="TableParagraph"/>
              <w:spacing w:line="120" w:lineRule="exact"/>
              <w:ind w:left="23"/>
              <w:rPr>
                <w:sz w:val="11"/>
              </w:rPr>
            </w:pPr>
            <w:r>
              <w:rPr>
                <w:color w:val="231F20"/>
                <w:w w:val="105"/>
                <w:sz w:val="11"/>
              </w:rPr>
              <w:t>Pyhasalmi</w:t>
            </w:r>
          </w:p>
        </w:tc>
        <w:tc>
          <w:tcPr>
            <w:tcW w:w="860" w:type="dxa"/>
          </w:tcPr>
          <w:p>
            <w:pPr>
              <w:pStyle w:val="TableParagraph"/>
              <w:spacing w:line="120" w:lineRule="exact"/>
              <w:ind w:left="114"/>
              <w:rPr>
                <w:sz w:val="11"/>
              </w:rPr>
            </w:pPr>
            <w:r>
              <w:rPr>
                <w:color w:val="231F20"/>
                <w:w w:val="105"/>
                <w:sz w:val="11"/>
              </w:rPr>
              <w:t>Finland</w:t>
            </w:r>
          </w:p>
        </w:tc>
        <w:tc>
          <w:tcPr>
            <w:tcW w:w="1652" w:type="dxa"/>
          </w:tcPr>
          <w:p>
            <w:pPr>
              <w:pStyle w:val="TableParagraph"/>
              <w:spacing w:line="120" w:lineRule="exact"/>
              <w:ind w:left="106"/>
              <w:rPr>
                <w:sz w:val="11"/>
              </w:rPr>
            </w:pPr>
            <w:r>
              <w:rPr>
                <w:color w:val="231F20"/>
                <w:w w:val="105"/>
                <w:sz w:val="11"/>
              </w:rPr>
              <w:t>Svecokarelian</w:t>
            </w:r>
          </w:p>
        </w:tc>
        <w:tc>
          <w:tcPr>
            <w:tcW w:w="910" w:type="dxa"/>
          </w:tcPr>
          <w:p>
            <w:pPr>
              <w:pStyle w:val="TableParagraph"/>
              <w:spacing w:line="120" w:lineRule="exact"/>
              <w:ind w:right="176"/>
              <w:jc w:val="right"/>
              <w:rPr>
                <w:sz w:val="11"/>
              </w:rPr>
            </w:pPr>
            <w:r>
              <w:rPr>
                <w:color w:val="231F20"/>
                <w:w w:val="105"/>
                <w:sz w:val="11"/>
              </w:rPr>
              <w:t>75.70</w:t>
            </w:r>
          </w:p>
        </w:tc>
        <w:tc>
          <w:tcPr>
            <w:tcW w:w="364" w:type="dxa"/>
          </w:tcPr>
          <w:p>
            <w:pPr>
              <w:pStyle w:val="TableParagraph"/>
              <w:spacing w:line="120" w:lineRule="exact"/>
              <w:ind w:right="16"/>
              <w:jc w:val="right"/>
              <w:rPr>
                <w:sz w:val="11"/>
              </w:rPr>
            </w:pPr>
            <w:r>
              <w:rPr>
                <w:color w:val="231F20"/>
                <w:w w:val="105"/>
                <w:sz w:val="11"/>
              </w:rPr>
              <w:t>0.9</w:t>
            </w:r>
          </w:p>
        </w:tc>
        <w:tc>
          <w:tcPr>
            <w:tcW w:w="426" w:type="dxa"/>
          </w:tcPr>
          <w:p>
            <w:pPr>
              <w:pStyle w:val="TableParagraph"/>
              <w:spacing w:line="120" w:lineRule="exact"/>
              <w:ind w:right="59"/>
              <w:jc w:val="right"/>
              <w:rPr>
                <w:sz w:val="11"/>
              </w:rPr>
            </w:pPr>
            <w:r>
              <w:rPr>
                <w:color w:val="231F20"/>
                <w:w w:val="105"/>
                <w:sz w:val="11"/>
              </w:rPr>
              <w:t>0.06</w:t>
            </w:r>
          </w:p>
        </w:tc>
        <w:tc>
          <w:tcPr>
            <w:tcW w:w="357" w:type="dxa"/>
          </w:tcPr>
          <w:p>
            <w:pPr>
              <w:pStyle w:val="TableParagraph"/>
              <w:spacing w:line="120" w:lineRule="exact"/>
              <w:ind w:right="60"/>
              <w:jc w:val="right"/>
              <w:rPr>
                <w:sz w:val="11"/>
              </w:rPr>
            </w:pPr>
            <w:r>
              <w:rPr>
                <w:color w:val="231F20"/>
                <w:w w:val="105"/>
                <w:sz w:val="11"/>
              </w:rPr>
              <w:t>1.9</w:t>
            </w:r>
          </w:p>
        </w:tc>
        <w:tc>
          <w:tcPr>
            <w:tcW w:w="398" w:type="dxa"/>
          </w:tcPr>
          <w:p>
            <w:pPr>
              <w:pStyle w:val="TableParagraph"/>
              <w:spacing w:line="120" w:lineRule="exact"/>
              <w:ind w:right="36"/>
              <w:jc w:val="right"/>
              <w:rPr>
                <w:sz w:val="11"/>
              </w:rPr>
            </w:pPr>
            <w:r>
              <w:rPr>
                <w:color w:val="231F20"/>
                <w:w w:val="105"/>
                <w:sz w:val="11"/>
              </w:rPr>
              <w:t>0.20</w:t>
            </w:r>
          </w:p>
        </w:tc>
        <w:tc>
          <w:tcPr>
            <w:tcW w:w="464" w:type="dxa"/>
          </w:tcPr>
          <w:p>
            <w:pPr>
              <w:pStyle w:val="TableParagraph"/>
              <w:spacing w:line="120" w:lineRule="exact"/>
              <w:ind w:left="78" w:right="54"/>
              <w:jc w:val="center"/>
              <w:rPr>
                <w:sz w:val="11"/>
              </w:rPr>
            </w:pPr>
            <w:r>
              <w:rPr>
                <w:color w:val="231F20"/>
                <w:w w:val="105"/>
                <w:sz w:val="11"/>
              </w:rPr>
              <w:t>14.00</w:t>
            </w:r>
          </w:p>
        </w:tc>
        <w:tc>
          <w:tcPr>
            <w:tcW w:w="826" w:type="dxa"/>
          </w:tcPr>
          <w:p>
            <w:pPr>
              <w:pStyle w:val="TableParagraph"/>
              <w:spacing w:line="120" w:lineRule="exact"/>
              <w:ind w:left="46" w:right="10"/>
              <w:jc w:val="center"/>
              <w:rPr>
                <w:sz w:val="11"/>
              </w:rPr>
            </w:pPr>
            <w:r>
              <w:rPr>
                <w:color w:val="231F20"/>
                <w:w w:val="105"/>
                <w:sz w:val="11"/>
              </w:rPr>
              <w:t>1921</w:t>
            </w:r>
          </w:p>
        </w:tc>
      </w:tr>
      <w:tr>
        <w:trPr>
          <w:trHeight w:val="150" w:hRule="atLeast"/>
        </w:trPr>
        <w:tc>
          <w:tcPr>
            <w:tcW w:w="1537" w:type="dxa"/>
          </w:tcPr>
          <w:p>
            <w:pPr>
              <w:pStyle w:val="TableParagraph"/>
              <w:spacing w:before="15"/>
              <w:ind w:left="23"/>
              <w:rPr>
                <w:sz w:val="11"/>
              </w:rPr>
            </w:pPr>
            <w:r>
              <w:rPr>
                <w:color w:val="231F20"/>
                <w:w w:val="105"/>
                <w:sz w:val="11"/>
              </w:rPr>
              <w:t>Sotiel</w:t>
            </w:r>
          </w:p>
        </w:tc>
        <w:tc>
          <w:tcPr>
            <w:tcW w:w="860" w:type="dxa"/>
          </w:tcPr>
          <w:p>
            <w:pPr>
              <w:pStyle w:val="TableParagraph"/>
              <w:spacing w:before="15"/>
              <w:ind w:left="114"/>
              <w:rPr>
                <w:sz w:val="11"/>
              </w:rPr>
            </w:pPr>
            <w:r>
              <w:rPr>
                <w:color w:val="231F20"/>
                <w:w w:val="105"/>
                <w:sz w:val="11"/>
              </w:rPr>
              <w:t>Spain</w:t>
            </w:r>
          </w:p>
        </w:tc>
        <w:tc>
          <w:tcPr>
            <w:tcW w:w="1652" w:type="dxa"/>
          </w:tcPr>
          <w:p>
            <w:pPr>
              <w:pStyle w:val="TableParagraph"/>
              <w:spacing w:before="15"/>
              <w:ind w:left="106"/>
              <w:rPr>
                <w:sz w:val="11"/>
              </w:rPr>
            </w:pPr>
            <w:r>
              <w:rPr>
                <w:color w:val="231F20"/>
                <w:w w:val="105"/>
                <w:sz w:val="11"/>
              </w:rPr>
              <w:t>Hercynian</w:t>
            </w:r>
          </w:p>
        </w:tc>
        <w:tc>
          <w:tcPr>
            <w:tcW w:w="910" w:type="dxa"/>
          </w:tcPr>
          <w:p>
            <w:pPr>
              <w:pStyle w:val="TableParagraph"/>
              <w:spacing w:before="15"/>
              <w:ind w:right="176"/>
              <w:jc w:val="right"/>
              <w:rPr>
                <w:sz w:val="11"/>
              </w:rPr>
            </w:pPr>
            <w:r>
              <w:rPr>
                <w:color w:val="231F20"/>
                <w:w w:val="105"/>
                <w:sz w:val="11"/>
              </w:rPr>
              <w:t>75.20</w:t>
            </w:r>
          </w:p>
        </w:tc>
        <w:tc>
          <w:tcPr>
            <w:tcW w:w="364" w:type="dxa"/>
          </w:tcPr>
          <w:p>
            <w:pPr>
              <w:pStyle w:val="TableParagraph"/>
              <w:spacing w:before="15"/>
              <w:ind w:right="16"/>
              <w:jc w:val="right"/>
              <w:rPr>
                <w:sz w:val="11"/>
              </w:rPr>
            </w:pPr>
            <w:r>
              <w:rPr>
                <w:color w:val="231F20"/>
                <w:w w:val="105"/>
                <w:sz w:val="11"/>
              </w:rPr>
              <w:t>0.56</w:t>
            </w:r>
          </w:p>
        </w:tc>
        <w:tc>
          <w:tcPr>
            <w:tcW w:w="426" w:type="dxa"/>
          </w:tcPr>
          <w:p>
            <w:pPr>
              <w:pStyle w:val="TableParagraph"/>
              <w:spacing w:before="15"/>
              <w:ind w:right="58"/>
              <w:jc w:val="right"/>
              <w:rPr>
                <w:sz w:val="11"/>
              </w:rPr>
            </w:pPr>
            <w:r>
              <w:rPr>
                <w:color w:val="231F20"/>
                <w:w w:val="105"/>
                <w:sz w:val="11"/>
              </w:rPr>
              <w:t>1.34</w:t>
            </w:r>
          </w:p>
        </w:tc>
        <w:tc>
          <w:tcPr>
            <w:tcW w:w="357" w:type="dxa"/>
          </w:tcPr>
          <w:p>
            <w:pPr>
              <w:pStyle w:val="TableParagraph"/>
              <w:spacing w:before="15"/>
              <w:ind w:right="60"/>
              <w:jc w:val="right"/>
              <w:rPr>
                <w:sz w:val="11"/>
              </w:rPr>
            </w:pPr>
            <w:r>
              <w:rPr>
                <w:color w:val="231F20"/>
                <w:w w:val="105"/>
                <w:sz w:val="11"/>
              </w:rPr>
              <w:t>3.16</w:t>
            </w:r>
          </w:p>
        </w:tc>
        <w:tc>
          <w:tcPr>
            <w:tcW w:w="398" w:type="dxa"/>
          </w:tcPr>
          <w:p>
            <w:pPr>
              <w:pStyle w:val="TableParagraph"/>
              <w:spacing w:before="15"/>
              <w:ind w:right="36"/>
              <w:jc w:val="right"/>
              <w:rPr>
                <w:sz w:val="11"/>
              </w:rPr>
            </w:pPr>
            <w:r>
              <w:rPr>
                <w:color w:val="231F20"/>
                <w:w w:val="105"/>
                <w:sz w:val="11"/>
              </w:rPr>
              <w:t>0.21</w:t>
            </w:r>
          </w:p>
        </w:tc>
        <w:tc>
          <w:tcPr>
            <w:tcW w:w="464" w:type="dxa"/>
          </w:tcPr>
          <w:p>
            <w:pPr>
              <w:pStyle w:val="TableParagraph"/>
              <w:spacing w:before="15"/>
              <w:ind w:left="78" w:right="54"/>
              <w:jc w:val="center"/>
              <w:rPr>
                <w:sz w:val="11"/>
              </w:rPr>
            </w:pPr>
            <w:r>
              <w:rPr>
                <w:color w:val="231F20"/>
                <w:w w:val="105"/>
                <w:sz w:val="11"/>
              </w:rPr>
              <w:t>24.00</w:t>
            </w:r>
          </w:p>
        </w:tc>
        <w:tc>
          <w:tcPr>
            <w:tcW w:w="826" w:type="dxa"/>
          </w:tcPr>
          <w:p>
            <w:pPr>
              <w:pStyle w:val="TableParagraph"/>
              <w:spacing w:before="15"/>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231F20"/>
                <w:w w:val="105"/>
                <w:sz w:val="11"/>
              </w:rPr>
              <w:t>Los Frailes</w:t>
            </w:r>
          </w:p>
        </w:tc>
        <w:tc>
          <w:tcPr>
            <w:tcW w:w="860" w:type="dxa"/>
          </w:tcPr>
          <w:p>
            <w:pPr>
              <w:pStyle w:val="TableParagraph"/>
              <w:ind w:left="114"/>
              <w:rPr>
                <w:sz w:val="11"/>
              </w:rPr>
            </w:pPr>
            <w:r>
              <w:rPr>
                <w:color w:val="231F20"/>
                <w:w w:val="105"/>
                <w:sz w:val="11"/>
              </w:rPr>
              <w:t>Spain</w:t>
            </w:r>
          </w:p>
        </w:tc>
        <w:tc>
          <w:tcPr>
            <w:tcW w:w="1652" w:type="dxa"/>
          </w:tcPr>
          <w:p>
            <w:pPr>
              <w:pStyle w:val="TableParagraph"/>
              <w:ind w:left="106"/>
              <w:rPr>
                <w:sz w:val="11"/>
              </w:rPr>
            </w:pPr>
            <w:r>
              <w:rPr>
                <w:color w:val="231F20"/>
                <w:w w:val="105"/>
                <w:sz w:val="11"/>
              </w:rPr>
              <w:t>Hercynian</w:t>
            </w:r>
          </w:p>
        </w:tc>
        <w:tc>
          <w:tcPr>
            <w:tcW w:w="910" w:type="dxa"/>
          </w:tcPr>
          <w:p>
            <w:pPr>
              <w:pStyle w:val="TableParagraph"/>
              <w:ind w:right="176"/>
              <w:jc w:val="right"/>
              <w:rPr>
                <w:sz w:val="11"/>
              </w:rPr>
            </w:pPr>
            <w:r>
              <w:rPr>
                <w:color w:val="231F20"/>
                <w:w w:val="105"/>
                <w:sz w:val="11"/>
              </w:rPr>
              <w:t>70.00</w:t>
            </w:r>
          </w:p>
        </w:tc>
        <w:tc>
          <w:tcPr>
            <w:tcW w:w="364" w:type="dxa"/>
          </w:tcPr>
          <w:p>
            <w:pPr>
              <w:pStyle w:val="TableParagraph"/>
              <w:ind w:right="16"/>
              <w:jc w:val="right"/>
              <w:rPr>
                <w:sz w:val="11"/>
              </w:rPr>
            </w:pPr>
            <w:r>
              <w:rPr>
                <w:color w:val="231F20"/>
                <w:w w:val="105"/>
                <w:sz w:val="11"/>
              </w:rPr>
              <w:t>0.34</w:t>
            </w:r>
          </w:p>
        </w:tc>
        <w:tc>
          <w:tcPr>
            <w:tcW w:w="426" w:type="dxa"/>
          </w:tcPr>
          <w:p>
            <w:pPr>
              <w:pStyle w:val="TableParagraph"/>
              <w:ind w:right="59"/>
              <w:jc w:val="right"/>
              <w:rPr>
                <w:sz w:val="11"/>
              </w:rPr>
            </w:pPr>
            <w:r>
              <w:rPr>
                <w:color w:val="231F20"/>
                <w:w w:val="105"/>
                <w:sz w:val="11"/>
              </w:rPr>
              <w:t>2.25</w:t>
            </w:r>
          </w:p>
        </w:tc>
        <w:tc>
          <w:tcPr>
            <w:tcW w:w="357" w:type="dxa"/>
          </w:tcPr>
          <w:p>
            <w:pPr>
              <w:pStyle w:val="TableParagraph"/>
              <w:ind w:right="60"/>
              <w:jc w:val="right"/>
              <w:rPr>
                <w:sz w:val="11"/>
              </w:rPr>
            </w:pPr>
            <w:r>
              <w:rPr>
                <w:color w:val="231F20"/>
                <w:w w:val="105"/>
                <w:sz w:val="11"/>
              </w:rPr>
              <w:t>3.92</w:t>
            </w:r>
          </w:p>
        </w:tc>
        <w:tc>
          <w:tcPr>
            <w:tcW w:w="398" w:type="dxa"/>
          </w:tcPr>
          <w:p>
            <w:pPr>
              <w:pStyle w:val="TableParagraph"/>
              <w:spacing w:line="240" w:lineRule="auto" w:before="0"/>
              <w:rPr>
                <w:rFonts w:ascii="Times New Roman"/>
                <w:sz w:val="8"/>
              </w:rPr>
            </w:pPr>
          </w:p>
        </w:tc>
        <w:tc>
          <w:tcPr>
            <w:tcW w:w="464" w:type="dxa"/>
          </w:tcPr>
          <w:p>
            <w:pPr>
              <w:pStyle w:val="TableParagraph"/>
              <w:ind w:left="78" w:right="54"/>
              <w:jc w:val="center"/>
              <w:rPr>
                <w:sz w:val="11"/>
              </w:rPr>
            </w:pPr>
            <w:r>
              <w:rPr>
                <w:color w:val="231F20"/>
                <w:w w:val="105"/>
                <w:sz w:val="11"/>
              </w:rPr>
              <w:t>62.00</w:t>
            </w:r>
          </w:p>
        </w:tc>
        <w:tc>
          <w:tcPr>
            <w:tcW w:w="826" w:type="dxa"/>
          </w:tcPr>
          <w:p>
            <w:pPr>
              <w:pStyle w:val="TableParagraph"/>
              <w:ind w:left="46" w:right="10"/>
              <w:jc w:val="center"/>
              <w:rPr>
                <w:sz w:val="11"/>
              </w:rPr>
            </w:pPr>
            <w:r>
              <w:rPr>
                <w:color w:val="231F20"/>
                <w:w w:val="105"/>
                <w:sz w:val="11"/>
              </w:rPr>
              <w:t>320</w:t>
            </w:r>
          </w:p>
        </w:tc>
      </w:tr>
      <w:tr>
        <w:trPr>
          <w:trHeight w:val="146" w:hRule="atLeast"/>
        </w:trPr>
        <w:tc>
          <w:tcPr>
            <w:tcW w:w="1537" w:type="dxa"/>
          </w:tcPr>
          <w:p>
            <w:pPr>
              <w:pStyle w:val="TableParagraph"/>
              <w:ind w:left="23"/>
              <w:rPr>
                <w:sz w:val="11"/>
              </w:rPr>
            </w:pPr>
            <w:r>
              <w:rPr>
                <w:color w:val="ED2024"/>
                <w:w w:val="105"/>
                <w:sz w:val="11"/>
              </w:rPr>
              <w:t>Heath Steele</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Appalachian</w:t>
            </w:r>
          </w:p>
        </w:tc>
        <w:tc>
          <w:tcPr>
            <w:tcW w:w="910" w:type="dxa"/>
          </w:tcPr>
          <w:p>
            <w:pPr>
              <w:pStyle w:val="TableParagraph"/>
              <w:ind w:right="176"/>
              <w:jc w:val="right"/>
              <w:rPr>
                <w:sz w:val="11"/>
              </w:rPr>
            </w:pPr>
            <w:r>
              <w:rPr>
                <w:color w:val="ED2024"/>
                <w:w w:val="105"/>
                <w:sz w:val="11"/>
              </w:rPr>
              <w:t>69.90</w:t>
            </w:r>
          </w:p>
        </w:tc>
        <w:tc>
          <w:tcPr>
            <w:tcW w:w="364" w:type="dxa"/>
          </w:tcPr>
          <w:p>
            <w:pPr>
              <w:pStyle w:val="TableParagraph"/>
              <w:ind w:right="16"/>
              <w:jc w:val="right"/>
              <w:rPr>
                <w:sz w:val="11"/>
              </w:rPr>
            </w:pPr>
            <w:r>
              <w:rPr>
                <w:color w:val="ED2024"/>
                <w:w w:val="105"/>
                <w:sz w:val="11"/>
              </w:rPr>
              <w:t>0.98</w:t>
            </w:r>
          </w:p>
        </w:tc>
        <w:tc>
          <w:tcPr>
            <w:tcW w:w="426" w:type="dxa"/>
          </w:tcPr>
          <w:p>
            <w:pPr>
              <w:pStyle w:val="TableParagraph"/>
              <w:ind w:right="58"/>
              <w:jc w:val="right"/>
              <w:rPr>
                <w:sz w:val="11"/>
              </w:rPr>
            </w:pPr>
            <w:r>
              <w:rPr>
                <w:color w:val="ED2024"/>
                <w:w w:val="105"/>
                <w:sz w:val="11"/>
              </w:rPr>
              <w:t>0.89</w:t>
            </w:r>
          </w:p>
        </w:tc>
        <w:tc>
          <w:tcPr>
            <w:tcW w:w="357" w:type="dxa"/>
          </w:tcPr>
          <w:p>
            <w:pPr>
              <w:pStyle w:val="TableParagraph"/>
              <w:ind w:right="60"/>
              <w:jc w:val="right"/>
              <w:rPr>
                <w:sz w:val="11"/>
              </w:rPr>
            </w:pPr>
            <w:r>
              <w:rPr>
                <w:color w:val="ED2024"/>
                <w:w w:val="105"/>
                <w:sz w:val="11"/>
              </w:rPr>
              <w:t>2.69</w:t>
            </w:r>
          </w:p>
        </w:tc>
        <w:tc>
          <w:tcPr>
            <w:tcW w:w="398" w:type="dxa"/>
          </w:tcPr>
          <w:p>
            <w:pPr>
              <w:pStyle w:val="TableParagraph"/>
              <w:ind w:right="36"/>
              <w:jc w:val="right"/>
              <w:rPr>
                <w:sz w:val="11"/>
              </w:rPr>
            </w:pPr>
            <w:r>
              <w:rPr>
                <w:color w:val="ED2024"/>
                <w:w w:val="105"/>
                <w:sz w:val="11"/>
              </w:rPr>
              <w:t>0.54</w:t>
            </w:r>
          </w:p>
        </w:tc>
        <w:tc>
          <w:tcPr>
            <w:tcW w:w="464" w:type="dxa"/>
          </w:tcPr>
          <w:p>
            <w:pPr>
              <w:pStyle w:val="TableParagraph"/>
              <w:ind w:left="78" w:right="54"/>
              <w:jc w:val="center"/>
              <w:rPr>
                <w:sz w:val="11"/>
              </w:rPr>
            </w:pPr>
            <w:r>
              <w:rPr>
                <w:color w:val="ED2024"/>
                <w:w w:val="105"/>
                <w:sz w:val="11"/>
              </w:rPr>
              <w:t>47.00</w:t>
            </w:r>
          </w:p>
        </w:tc>
        <w:tc>
          <w:tcPr>
            <w:tcW w:w="826" w:type="dxa"/>
          </w:tcPr>
          <w:p>
            <w:pPr>
              <w:pStyle w:val="TableParagraph"/>
              <w:ind w:left="46" w:right="10"/>
              <w:jc w:val="center"/>
              <w:rPr>
                <w:sz w:val="11"/>
              </w:rPr>
            </w:pPr>
            <w:r>
              <w:rPr>
                <w:color w:val="ED2024"/>
                <w:w w:val="105"/>
                <w:sz w:val="11"/>
              </w:rPr>
              <w:t>465</w:t>
            </w:r>
          </w:p>
        </w:tc>
      </w:tr>
      <w:tr>
        <w:trPr>
          <w:trHeight w:val="146" w:hRule="atLeast"/>
        </w:trPr>
        <w:tc>
          <w:tcPr>
            <w:tcW w:w="1537" w:type="dxa"/>
          </w:tcPr>
          <w:p>
            <w:pPr>
              <w:pStyle w:val="TableParagraph"/>
              <w:ind w:left="23"/>
              <w:rPr>
                <w:sz w:val="11"/>
              </w:rPr>
            </w:pPr>
            <w:r>
              <w:rPr>
                <w:color w:val="231F20"/>
                <w:w w:val="105"/>
                <w:sz w:val="11"/>
              </w:rPr>
              <w:t>Ulaan</w:t>
            </w:r>
          </w:p>
        </w:tc>
        <w:tc>
          <w:tcPr>
            <w:tcW w:w="860" w:type="dxa"/>
          </w:tcPr>
          <w:p>
            <w:pPr>
              <w:pStyle w:val="TableParagraph"/>
              <w:ind w:left="114"/>
              <w:rPr>
                <w:sz w:val="11"/>
              </w:rPr>
            </w:pPr>
            <w:r>
              <w:rPr>
                <w:color w:val="231F20"/>
                <w:w w:val="105"/>
                <w:sz w:val="11"/>
              </w:rPr>
              <w:t>Mongolia</w:t>
            </w:r>
          </w:p>
        </w:tc>
        <w:tc>
          <w:tcPr>
            <w:tcW w:w="1652" w:type="dxa"/>
          </w:tcPr>
          <w:p>
            <w:pPr>
              <w:pStyle w:val="TableParagraph"/>
              <w:ind w:left="106"/>
              <w:rPr>
                <w:sz w:val="11"/>
              </w:rPr>
            </w:pPr>
            <w:r>
              <w:rPr>
                <w:color w:val="231F20"/>
                <w:w w:val="105"/>
                <w:sz w:val="11"/>
              </w:rPr>
              <w:t>Kazakh-Mongol(Hercyn.)</w:t>
            </w:r>
          </w:p>
        </w:tc>
        <w:tc>
          <w:tcPr>
            <w:tcW w:w="910" w:type="dxa"/>
          </w:tcPr>
          <w:p>
            <w:pPr>
              <w:pStyle w:val="TableParagraph"/>
              <w:ind w:right="176"/>
              <w:jc w:val="right"/>
              <w:rPr>
                <w:sz w:val="11"/>
              </w:rPr>
            </w:pPr>
            <w:r>
              <w:rPr>
                <w:color w:val="231F20"/>
                <w:w w:val="105"/>
                <w:sz w:val="11"/>
              </w:rPr>
              <w:t>68.00</w:t>
            </w:r>
          </w:p>
        </w:tc>
        <w:tc>
          <w:tcPr>
            <w:tcW w:w="364" w:type="dxa"/>
          </w:tcPr>
          <w:p>
            <w:pPr>
              <w:pStyle w:val="TableParagraph"/>
              <w:spacing w:line="240" w:lineRule="auto" w:before="0"/>
              <w:rPr>
                <w:rFonts w:ascii="Times New Roman"/>
                <w:sz w:val="8"/>
              </w:rPr>
            </w:pPr>
          </w:p>
        </w:tc>
        <w:tc>
          <w:tcPr>
            <w:tcW w:w="426" w:type="dxa"/>
          </w:tcPr>
          <w:p>
            <w:pPr>
              <w:pStyle w:val="TableParagraph"/>
              <w:ind w:right="58"/>
              <w:jc w:val="right"/>
              <w:rPr>
                <w:sz w:val="11"/>
              </w:rPr>
            </w:pPr>
            <w:r>
              <w:rPr>
                <w:color w:val="231F20"/>
                <w:w w:val="105"/>
                <w:sz w:val="11"/>
              </w:rPr>
              <w:t>1.2</w:t>
            </w:r>
          </w:p>
        </w:tc>
        <w:tc>
          <w:tcPr>
            <w:tcW w:w="357" w:type="dxa"/>
          </w:tcPr>
          <w:p>
            <w:pPr>
              <w:pStyle w:val="TableParagraph"/>
              <w:ind w:right="59"/>
              <w:jc w:val="right"/>
              <w:rPr>
                <w:sz w:val="11"/>
              </w:rPr>
            </w:pPr>
            <w:r>
              <w:rPr>
                <w:color w:val="231F20"/>
                <w:w w:val="106"/>
                <w:sz w:val="11"/>
              </w:rPr>
              <w:t>2</w:t>
            </w:r>
          </w:p>
        </w:tc>
        <w:tc>
          <w:tcPr>
            <w:tcW w:w="398" w:type="dxa"/>
          </w:tcPr>
          <w:p>
            <w:pPr>
              <w:pStyle w:val="TableParagraph"/>
              <w:ind w:right="36"/>
              <w:jc w:val="right"/>
              <w:rPr>
                <w:sz w:val="11"/>
              </w:rPr>
            </w:pPr>
            <w:r>
              <w:rPr>
                <w:color w:val="231F20"/>
                <w:w w:val="105"/>
                <w:sz w:val="11"/>
              </w:rPr>
              <w:t>0.21</w:t>
            </w:r>
          </w:p>
        </w:tc>
        <w:tc>
          <w:tcPr>
            <w:tcW w:w="464" w:type="dxa"/>
          </w:tcPr>
          <w:p>
            <w:pPr>
              <w:pStyle w:val="TableParagraph"/>
              <w:ind w:left="78" w:right="54"/>
              <w:jc w:val="center"/>
              <w:rPr>
                <w:sz w:val="11"/>
              </w:rPr>
            </w:pPr>
            <w:r>
              <w:rPr>
                <w:color w:val="231F20"/>
                <w:w w:val="105"/>
                <w:sz w:val="11"/>
              </w:rPr>
              <w:t>53.00</w:t>
            </w:r>
          </w:p>
        </w:tc>
        <w:tc>
          <w:tcPr>
            <w:tcW w:w="826" w:type="dxa"/>
          </w:tcPr>
          <w:p>
            <w:pPr>
              <w:pStyle w:val="TableParagraph"/>
              <w:ind w:left="46" w:right="10"/>
              <w:jc w:val="center"/>
              <w:rPr>
                <w:sz w:val="11"/>
              </w:rPr>
            </w:pPr>
            <w:r>
              <w:rPr>
                <w:color w:val="231F20"/>
                <w:w w:val="105"/>
                <w:sz w:val="11"/>
              </w:rPr>
              <w:t>380</w:t>
            </w:r>
          </w:p>
        </w:tc>
      </w:tr>
      <w:tr>
        <w:trPr>
          <w:trHeight w:val="146" w:hRule="atLeast"/>
        </w:trPr>
        <w:tc>
          <w:tcPr>
            <w:tcW w:w="1537" w:type="dxa"/>
          </w:tcPr>
          <w:p>
            <w:pPr>
              <w:pStyle w:val="TableParagraph"/>
              <w:ind w:left="23"/>
              <w:rPr>
                <w:sz w:val="11"/>
              </w:rPr>
            </w:pPr>
            <w:r>
              <w:rPr>
                <w:color w:val="ED2024"/>
                <w:w w:val="105"/>
                <w:sz w:val="11"/>
              </w:rPr>
              <w:t>Caribou</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Appalachian</w:t>
            </w:r>
          </w:p>
        </w:tc>
        <w:tc>
          <w:tcPr>
            <w:tcW w:w="910" w:type="dxa"/>
          </w:tcPr>
          <w:p>
            <w:pPr>
              <w:pStyle w:val="TableParagraph"/>
              <w:ind w:right="176"/>
              <w:jc w:val="right"/>
              <w:rPr>
                <w:sz w:val="11"/>
              </w:rPr>
            </w:pPr>
            <w:r>
              <w:rPr>
                <w:color w:val="ED2024"/>
                <w:w w:val="105"/>
                <w:sz w:val="11"/>
              </w:rPr>
              <w:t>64.69</w:t>
            </w:r>
          </w:p>
        </w:tc>
        <w:tc>
          <w:tcPr>
            <w:tcW w:w="364" w:type="dxa"/>
          </w:tcPr>
          <w:p>
            <w:pPr>
              <w:pStyle w:val="TableParagraph"/>
              <w:ind w:right="16"/>
              <w:jc w:val="right"/>
              <w:rPr>
                <w:sz w:val="11"/>
              </w:rPr>
            </w:pPr>
            <w:r>
              <w:rPr>
                <w:color w:val="ED2024"/>
                <w:w w:val="105"/>
                <w:sz w:val="11"/>
              </w:rPr>
              <w:t>0.51</w:t>
            </w:r>
          </w:p>
        </w:tc>
        <w:tc>
          <w:tcPr>
            <w:tcW w:w="426" w:type="dxa"/>
          </w:tcPr>
          <w:p>
            <w:pPr>
              <w:pStyle w:val="TableParagraph"/>
              <w:ind w:right="58"/>
              <w:jc w:val="right"/>
              <w:rPr>
                <w:sz w:val="11"/>
              </w:rPr>
            </w:pPr>
            <w:r>
              <w:rPr>
                <w:color w:val="ED2024"/>
                <w:w w:val="105"/>
                <w:sz w:val="11"/>
              </w:rPr>
              <w:t>1.6</w:t>
            </w:r>
          </w:p>
        </w:tc>
        <w:tc>
          <w:tcPr>
            <w:tcW w:w="357" w:type="dxa"/>
          </w:tcPr>
          <w:p>
            <w:pPr>
              <w:pStyle w:val="TableParagraph"/>
              <w:ind w:right="60"/>
              <w:jc w:val="right"/>
              <w:rPr>
                <w:sz w:val="11"/>
              </w:rPr>
            </w:pPr>
            <w:r>
              <w:rPr>
                <w:color w:val="ED2024"/>
                <w:w w:val="105"/>
                <w:sz w:val="11"/>
              </w:rPr>
              <w:t>4.29</w:t>
            </w:r>
          </w:p>
        </w:tc>
        <w:tc>
          <w:tcPr>
            <w:tcW w:w="398" w:type="dxa"/>
          </w:tcPr>
          <w:p>
            <w:pPr>
              <w:pStyle w:val="TableParagraph"/>
              <w:ind w:right="36"/>
              <w:jc w:val="right"/>
              <w:rPr>
                <w:sz w:val="11"/>
              </w:rPr>
            </w:pPr>
            <w:r>
              <w:rPr>
                <w:color w:val="ED2024"/>
                <w:w w:val="105"/>
                <w:sz w:val="11"/>
              </w:rPr>
              <w:t>1.89</w:t>
            </w:r>
          </w:p>
        </w:tc>
        <w:tc>
          <w:tcPr>
            <w:tcW w:w="464" w:type="dxa"/>
          </w:tcPr>
          <w:p>
            <w:pPr>
              <w:pStyle w:val="TableParagraph"/>
              <w:ind w:left="78" w:right="54"/>
              <w:jc w:val="center"/>
              <w:rPr>
                <w:sz w:val="11"/>
              </w:rPr>
            </w:pPr>
            <w:r>
              <w:rPr>
                <w:color w:val="ED2024"/>
                <w:w w:val="105"/>
                <w:sz w:val="11"/>
              </w:rPr>
              <w:t>51.00</w:t>
            </w:r>
          </w:p>
        </w:tc>
        <w:tc>
          <w:tcPr>
            <w:tcW w:w="826" w:type="dxa"/>
          </w:tcPr>
          <w:p>
            <w:pPr>
              <w:pStyle w:val="TableParagraph"/>
              <w:ind w:left="46" w:right="10"/>
              <w:jc w:val="center"/>
              <w:rPr>
                <w:sz w:val="11"/>
              </w:rPr>
            </w:pPr>
            <w:r>
              <w:rPr>
                <w:color w:val="ED2024"/>
                <w:w w:val="105"/>
                <w:sz w:val="11"/>
              </w:rPr>
              <w:t>465</w:t>
            </w:r>
          </w:p>
        </w:tc>
      </w:tr>
      <w:tr>
        <w:trPr>
          <w:trHeight w:val="146" w:hRule="atLeast"/>
        </w:trPr>
        <w:tc>
          <w:tcPr>
            <w:tcW w:w="1537" w:type="dxa"/>
          </w:tcPr>
          <w:p>
            <w:pPr>
              <w:pStyle w:val="TableParagraph"/>
              <w:ind w:left="23"/>
              <w:rPr>
                <w:sz w:val="11"/>
              </w:rPr>
            </w:pPr>
            <w:r>
              <w:rPr>
                <w:color w:val="231F20"/>
                <w:w w:val="105"/>
                <w:sz w:val="11"/>
              </w:rPr>
              <w:t>Crandon</w:t>
            </w:r>
          </w:p>
        </w:tc>
        <w:tc>
          <w:tcPr>
            <w:tcW w:w="860" w:type="dxa"/>
          </w:tcPr>
          <w:p>
            <w:pPr>
              <w:pStyle w:val="TableParagraph"/>
              <w:ind w:left="114"/>
              <w:rPr>
                <w:sz w:val="11"/>
              </w:rPr>
            </w:pPr>
            <w:r>
              <w:rPr>
                <w:color w:val="231F20"/>
                <w:w w:val="105"/>
                <w:sz w:val="11"/>
              </w:rPr>
              <w:t>USA</w:t>
            </w:r>
          </w:p>
        </w:tc>
        <w:tc>
          <w:tcPr>
            <w:tcW w:w="1652" w:type="dxa"/>
          </w:tcPr>
          <w:p>
            <w:pPr>
              <w:pStyle w:val="TableParagraph"/>
              <w:ind w:left="106"/>
              <w:rPr>
                <w:sz w:val="11"/>
              </w:rPr>
            </w:pPr>
            <w:r>
              <w:rPr>
                <w:color w:val="231F20"/>
                <w:w w:val="105"/>
                <w:sz w:val="11"/>
              </w:rPr>
              <w:t>Trans-Hudson</w:t>
            </w:r>
          </w:p>
        </w:tc>
        <w:tc>
          <w:tcPr>
            <w:tcW w:w="910" w:type="dxa"/>
          </w:tcPr>
          <w:p>
            <w:pPr>
              <w:pStyle w:val="TableParagraph"/>
              <w:ind w:right="176"/>
              <w:jc w:val="right"/>
              <w:rPr>
                <w:sz w:val="11"/>
              </w:rPr>
            </w:pPr>
            <w:r>
              <w:rPr>
                <w:color w:val="231F20"/>
                <w:w w:val="105"/>
                <w:sz w:val="11"/>
              </w:rPr>
              <w:t>63.50</w:t>
            </w:r>
          </w:p>
        </w:tc>
        <w:tc>
          <w:tcPr>
            <w:tcW w:w="364" w:type="dxa"/>
          </w:tcPr>
          <w:p>
            <w:pPr>
              <w:pStyle w:val="TableParagraph"/>
              <w:ind w:right="15"/>
              <w:jc w:val="right"/>
              <w:rPr>
                <w:sz w:val="11"/>
              </w:rPr>
            </w:pPr>
            <w:r>
              <w:rPr>
                <w:color w:val="231F20"/>
                <w:w w:val="106"/>
                <w:sz w:val="11"/>
              </w:rPr>
              <w:t>1</w:t>
            </w:r>
          </w:p>
        </w:tc>
        <w:tc>
          <w:tcPr>
            <w:tcW w:w="426" w:type="dxa"/>
          </w:tcPr>
          <w:p>
            <w:pPr>
              <w:pStyle w:val="TableParagraph"/>
              <w:spacing w:line="240" w:lineRule="auto" w:before="0"/>
              <w:rPr>
                <w:rFonts w:ascii="Times New Roman"/>
                <w:sz w:val="8"/>
              </w:rPr>
            </w:pPr>
          </w:p>
        </w:tc>
        <w:tc>
          <w:tcPr>
            <w:tcW w:w="357" w:type="dxa"/>
          </w:tcPr>
          <w:p>
            <w:pPr>
              <w:pStyle w:val="TableParagraph"/>
              <w:ind w:right="59"/>
              <w:jc w:val="right"/>
              <w:rPr>
                <w:sz w:val="11"/>
              </w:rPr>
            </w:pPr>
            <w:r>
              <w:rPr>
                <w:color w:val="231F20"/>
                <w:w w:val="105"/>
                <w:sz w:val="11"/>
              </w:rPr>
              <w:t>6.5</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7" w:right="10"/>
              <w:jc w:val="center"/>
              <w:rPr>
                <w:sz w:val="11"/>
              </w:rPr>
            </w:pPr>
            <w:r>
              <w:rPr>
                <w:color w:val="231F20"/>
                <w:w w:val="105"/>
                <w:sz w:val="11"/>
              </w:rPr>
              <w:t>1870</w:t>
            </w:r>
          </w:p>
        </w:tc>
      </w:tr>
      <w:tr>
        <w:trPr>
          <w:trHeight w:val="146" w:hRule="atLeast"/>
        </w:trPr>
        <w:tc>
          <w:tcPr>
            <w:tcW w:w="1537" w:type="dxa"/>
          </w:tcPr>
          <w:p>
            <w:pPr>
              <w:pStyle w:val="TableParagraph"/>
              <w:ind w:left="23"/>
              <w:rPr>
                <w:sz w:val="11"/>
              </w:rPr>
            </w:pPr>
            <w:r>
              <w:rPr>
                <w:color w:val="ED2024"/>
                <w:w w:val="105"/>
                <w:sz w:val="11"/>
              </w:rPr>
              <w:t>Flin Flon</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Trans-Hudson</w:t>
            </w:r>
          </w:p>
        </w:tc>
        <w:tc>
          <w:tcPr>
            <w:tcW w:w="910" w:type="dxa"/>
          </w:tcPr>
          <w:p>
            <w:pPr>
              <w:pStyle w:val="TableParagraph"/>
              <w:ind w:right="176"/>
              <w:jc w:val="right"/>
              <w:rPr>
                <w:sz w:val="11"/>
              </w:rPr>
            </w:pPr>
            <w:r>
              <w:rPr>
                <w:color w:val="ED2024"/>
                <w:w w:val="105"/>
                <w:sz w:val="11"/>
              </w:rPr>
              <w:t>62.93</w:t>
            </w:r>
          </w:p>
        </w:tc>
        <w:tc>
          <w:tcPr>
            <w:tcW w:w="364" w:type="dxa"/>
          </w:tcPr>
          <w:p>
            <w:pPr>
              <w:pStyle w:val="TableParagraph"/>
              <w:ind w:right="16"/>
              <w:jc w:val="right"/>
              <w:rPr>
                <w:sz w:val="11"/>
              </w:rPr>
            </w:pPr>
            <w:r>
              <w:rPr>
                <w:color w:val="ED2024"/>
                <w:w w:val="105"/>
                <w:sz w:val="11"/>
              </w:rPr>
              <w:t>2.2</w:t>
            </w:r>
          </w:p>
        </w:tc>
        <w:tc>
          <w:tcPr>
            <w:tcW w:w="426" w:type="dxa"/>
          </w:tcPr>
          <w:p>
            <w:pPr>
              <w:pStyle w:val="TableParagraph"/>
              <w:spacing w:line="240" w:lineRule="auto" w:before="0"/>
              <w:rPr>
                <w:rFonts w:ascii="Times New Roman"/>
                <w:sz w:val="8"/>
              </w:rPr>
            </w:pPr>
          </w:p>
        </w:tc>
        <w:tc>
          <w:tcPr>
            <w:tcW w:w="357" w:type="dxa"/>
          </w:tcPr>
          <w:p>
            <w:pPr>
              <w:pStyle w:val="TableParagraph"/>
              <w:ind w:right="59"/>
              <w:jc w:val="right"/>
              <w:rPr>
                <w:sz w:val="11"/>
              </w:rPr>
            </w:pPr>
            <w:r>
              <w:rPr>
                <w:color w:val="ED2024"/>
                <w:w w:val="105"/>
                <w:sz w:val="11"/>
              </w:rPr>
              <w:t>4.1</w:t>
            </w:r>
          </w:p>
        </w:tc>
        <w:tc>
          <w:tcPr>
            <w:tcW w:w="398" w:type="dxa"/>
          </w:tcPr>
          <w:p>
            <w:pPr>
              <w:pStyle w:val="TableParagraph"/>
              <w:ind w:right="36"/>
              <w:jc w:val="right"/>
              <w:rPr>
                <w:sz w:val="11"/>
              </w:rPr>
            </w:pPr>
            <w:r>
              <w:rPr>
                <w:color w:val="ED2024"/>
                <w:w w:val="105"/>
                <w:sz w:val="11"/>
              </w:rPr>
              <w:t>2.85</w:t>
            </w:r>
          </w:p>
        </w:tc>
        <w:tc>
          <w:tcPr>
            <w:tcW w:w="464" w:type="dxa"/>
          </w:tcPr>
          <w:p>
            <w:pPr>
              <w:pStyle w:val="TableParagraph"/>
              <w:ind w:left="78" w:right="53"/>
              <w:jc w:val="center"/>
              <w:rPr>
                <w:sz w:val="11"/>
              </w:rPr>
            </w:pPr>
            <w:r>
              <w:rPr>
                <w:color w:val="ED2024"/>
                <w:w w:val="105"/>
                <w:sz w:val="11"/>
              </w:rPr>
              <w:t>43.20</w:t>
            </w:r>
          </w:p>
        </w:tc>
        <w:tc>
          <w:tcPr>
            <w:tcW w:w="826" w:type="dxa"/>
          </w:tcPr>
          <w:p>
            <w:pPr>
              <w:pStyle w:val="TableParagraph"/>
              <w:ind w:left="47" w:right="10"/>
              <w:jc w:val="center"/>
              <w:rPr>
                <w:sz w:val="11"/>
              </w:rPr>
            </w:pPr>
            <w:r>
              <w:rPr>
                <w:color w:val="ED2024"/>
                <w:w w:val="105"/>
                <w:sz w:val="11"/>
              </w:rPr>
              <w:t>1875</w:t>
            </w:r>
          </w:p>
        </w:tc>
      </w:tr>
      <w:tr>
        <w:trPr>
          <w:trHeight w:val="146" w:hRule="atLeast"/>
        </w:trPr>
        <w:tc>
          <w:tcPr>
            <w:tcW w:w="1537" w:type="dxa"/>
          </w:tcPr>
          <w:p>
            <w:pPr>
              <w:pStyle w:val="TableParagraph"/>
              <w:ind w:left="23"/>
              <w:rPr>
                <w:sz w:val="11"/>
              </w:rPr>
            </w:pPr>
            <w:r>
              <w:rPr>
                <w:color w:val="231F20"/>
                <w:w w:val="105"/>
                <w:sz w:val="11"/>
              </w:rPr>
              <w:t>Zincgruvan( +Knalla)</w:t>
            </w:r>
          </w:p>
        </w:tc>
        <w:tc>
          <w:tcPr>
            <w:tcW w:w="860" w:type="dxa"/>
          </w:tcPr>
          <w:p>
            <w:pPr>
              <w:pStyle w:val="TableParagraph"/>
              <w:ind w:left="114"/>
              <w:rPr>
                <w:sz w:val="11"/>
              </w:rPr>
            </w:pPr>
            <w:r>
              <w:rPr>
                <w:color w:val="231F20"/>
                <w:w w:val="105"/>
                <w:sz w:val="11"/>
              </w:rPr>
              <w:t>Sweden</w:t>
            </w:r>
          </w:p>
        </w:tc>
        <w:tc>
          <w:tcPr>
            <w:tcW w:w="1652" w:type="dxa"/>
          </w:tcPr>
          <w:p>
            <w:pPr>
              <w:pStyle w:val="TableParagraph"/>
              <w:ind w:left="106"/>
              <w:rPr>
                <w:sz w:val="11"/>
              </w:rPr>
            </w:pPr>
            <w:r>
              <w:rPr>
                <w:color w:val="231F20"/>
                <w:w w:val="105"/>
                <w:sz w:val="11"/>
              </w:rPr>
              <w:t>Svecokarelian</w:t>
            </w:r>
          </w:p>
        </w:tc>
        <w:tc>
          <w:tcPr>
            <w:tcW w:w="910" w:type="dxa"/>
          </w:tcPr>
          <w:p>
            <w:pPr>
              <w:pStyle w:val="TableParagraph"/>
              <w:ind w:right="176"/>
              <w:jc w:val="right"/>
              <w:rPr>
                <w:sz w:val="11"/>
              </w:rPr>
            </w:pPr>
            <w:r>
              <w:rPr>
                <w:color w:val="231F20"/>
                <w:w w:val="105"/>
                <w:sz w:val="11"/>
              </w:rPr>
              <w:t>60.00</w:t>
            </w:r>
          </w:p>
        </w:tc>
        <w:tc>
          <w:tcPr>
            <w:tcW w:w="364" w:type="dxa"/>
          </w:tcPr>
          <w:p>
            <w:pPr>
              <w:pStyle w:val="TableParagraph"/>
              <w:spacing w:line="240" w:lineRule="auto" w:before="0"/>
              <w:rPr>
                <w:rFonts w:ascii="Times New Roman"/>
                <w:sz w:val="8"/>
              </w:rPr>
            </w:pPr>
          </w:p>
        </w:tc>
        <w:tc>
          <w:tcPr>
            <w:tcW w:w="426" w:type="dxa"/>
          </w:tcPr>
          <w:p>
            <w:pPr>
              <w:pStyle w:val="TableParagraph"/>
              <w:ind w:right="58"/>
              <w:jc w:val="right"/>
              <w:rPr>
                <w:sz w:val="11"/>
              </w:rPr>
            </w:pPr>
            <w:r>
              <w:rPr>
                <w:color w:val="231F20"/>
                <w:w w:val="105"/>
                <w:sz w:val="11"/>
              </w:rPr>
              <w:t>3.2</w:t>
            </w:r>
          </w:p>
        </w:tc>
        <w:tc>
          <w:tcPr>
            <w:tcW w:w="357" w:type="dxa"/>
          </w:tcPr>
          <w:p>
            <w:pPr>
              <w:pStyle w:val="TableParagraph"/>
              <w:ind w:right="60"/>
              <w:jc w:val="right"/>
              <w:rPr>
                <w:sz w:val="11"/>
              </w:rPr>
            </w:pPr>
            <w:r>
              <w:rPr>
                <w:color w:val="231F20"/>
                <w:w w:val="105"/>
                <w:sz w:val="11"/>
              </w:rPr>
              <w:t>10.4</w:t>
            </w:r>
          </w:p>
        </w:tc>
        <w:tc>
          <w:tcPr>
            <w:tcW w:w="398" w:type="dxa"/>
          </w:tcPr>
          <w:p>
            <w:pPr>
              <w:pStyle w:val="TableParagraph"/>
              <w:spacing w:line="240" w:lineRule="auto" w:before="0"/>
              <w:rPr>
                <w:rFonts w:ascii="Times New Roman"/>
                <w:sz w:val="8"/>
              </w:rPr>
            </w:pPr>
          </w:p>
        </w:tc>
        <w:tc>
          <w:tcPr>
            <w:tcW w:w="464" w:type="dxa"/>
          </w:tcPr>
          <w:p>
            <w:pPr>
              <w:pStyle w:val="TableParagraph"/>
              <w:ind w:left="78" w:right="53"/>
              <w:jc w:val="center"/>
              <w:rPr>
                <w:sz w:val="11"/>
              </w:rPr>
            </w:pPr>
            <w:r>
              <w:rPr>
                <w:color w:val="231F20"/>
                <w:w w:val="105"/>
                <w:sz w:val="11"/>
              </w:rPr>
              <w:t>69.00</w:t>
            </w:r>
          </w:p>
        </w:tc>
        <w:tc>
          <w:tcPr>
            <w:tcW w:w="826" w:type="dxa"/>
          </w:tcPr>
          <w:p>
            <w:pPr>
              <w:pStyle w:val="TableParagraph"/>
              <w:ind w:left="46" w:right="10"/>
              <w:jc w:val="center"/>
              <w:rPr>
                <w:sz w:val="11"/>
              </w:rPr>
            </w:pPr>
            <w:r>
              <w:rPr>
                <w:color w:val="231F20"/>
                <w:w w:val="105"/>
                <w:sz w:val="11"/>
              </w:rPr>
              <w:t>1890</w:t>
            </w:r>
          </w:p>
        </w:tc>
      </w:tr>
      <w:tr>
        <w:trPr>
          <w:trHeight w:val="146" w:hRule="atLeast"/>
        </w:trPr>
        <w:tc>
          <w:tcPr>
            <w:tcW w:w="1537" w:type="dxa"/>
          </w:tcPr>
          <w:p>
            <w:pPr>
              <w:pStyle w:val="TableParagraph"/>
              <w:ind w:left="23"/>
              <w:rPr>
                <w:sz w:val="11"/>
              </w:rPr>
            </w:pPr>
            <w:r>
              <w:rPr>
                <w:color w:val="231F20"/>
                <w:w w:val="105"/>
                <w:sz w:val="11"/>
              </w:rPr>
              <w:t>Tishin</w:t>
            </w:r>
          </w:p>
        </w:tc>
        <w:tc>
          <w:tcPr>
            <w:tcW w:w="860" w:type="dxa"/>
          </w:tcPr>
          <w:p>
            <w:pPr>
              <w:pStyle w:val="TableParagraph"/>
              <w:ind w:left="114"/>
              <w:rPr>
                <w:sz w:val="11"/>
              </w:rPr>
            </w:pPr>
            <w:r>
              <w:rPr>
                <w:color w:val="231F20"/>
                <w:w w:val="105"/>
                <w:sz w:val="11"/>
              </w:rPr>
              <w:t>Kazakhstan</w:t>
            </w:r>
          </w:p>
        </w:tc>
        <w:tc>
          <w:tcPr>
            <w:tcW w:w="1652" w:type="dxa"/>
          </w:tcPr>
          <w:p>
            <w:pPr>
              <w:pStyle w:val="TableParagraph"/>
              <w:ind w:left="106"/>
              <w:rPr>
                <w:sz w:val="11"/>
              </w:rPr>
            </w:pPr>
            <w:r>
              <w:rPr>
                <w:color w:val="231F20"/>
                <w:w w:val="105"/>
                <w:sz w:val="11"/>
              </w:rPr>
              <w:t>Altaides (Hercynian)</w:t>
            </w:r>
          </w:p>
        </w:tc>
        <w:tc>
          <w:tcPr>
            <w:tcW w:w="910" w:type="dxa"/>
          </w:tcPr>
          <w:p>
            <w:pPr>
              <w:pStyle w:val="TableParagraph"/>
              <w:ind w:right="176"/>
              <w:jc w:val="right"/>
              <w:rPr>
                <w:sz w:val="11"/>
              </w:rPr>
            </w:pPr>
            <w:r>
              <w:rPr>
                <w:color w:val="231F20"/>
                <w:w w:val="105"/>
                <w:sz w:val="11"/>
              </w:rPr>
              <w:t>60.00</w:t>
            </w:r>
          </w:p>
        </w:tc>
        <w:tc>
          <w:tcPr>
            <w:tcW w:w="364" w:type="dxa"/>
          </w:tcPr>
          <w:p>
            <w:pPr>
              <w:pStyle w:val="TableParagraph"/>
              <w:ind w:right="16"/>
              <w:jc w:val="right"/>
              <w:rPr>
                <w:sz w:val="11"/>
              </w:rPr>
            </w:pPr>
            <w:r>
              <w:rPr>
                <w:color w:val="231F20"/>
                <w:w w:val="105"/>
                <w:sz w:val="11"/>
              </w:rPr>
              <w:t>0.5</w:t>
            </w:r>
          </w:p>
        </w:tc>
        <w:tc>
          <w:tcPr>
            <w:tcW w:w="426" w:type="dxa"/>
          </w:tcPr>
          <w:p>
            <w:pPr>
              <w:pStyle w:val="TableParagraph"/>
              <w:ind w:right="58"/>
              <w:jc w:val="right"/>
              <w:rPr>
                <w:sz w:val="11"/>
              </w:rPr>
            </w:pPr>
            <w:r>
              <w:rPr>
                <w:color w:val="231F20"/>
                <w:w w:val="105"/>
                <w:sz w:val="11"/>
              </w:rPr>
              <w:t>0.9</w:t>
            </w:r>
          </w:p>
        </w:tc>
        <w:tc>
          <w:tcPr>
            <w:tcW w:w="357" w:type="dxa"/>
          </w:tcPr>
          <w:p>
            <w:pPr>
              <w:pStyle w:val="TableParagraph"/>
              <w:ind w:right="59"/>
              <w:jc w:val="right"/>
              <w:rPr>
                <w:sz w:val="11"/>
              </w:rPr>
            </w:pPr>
            <w:r>
              <w:rPr>
                <w:color w:val="231F20"/>
                <w:w w:val="105"/>
                <w:sz w:val="11"/>
              </w:rPr>
              <w:t>5.3</w:t>
            </w:r>
          </w:p>
        </w:tc>
        <w:tc>
          <w:tcPr>
            <w:tcW w:w="398" w:type="dxa"/>
          </w:tcPr>
          <w:p>
            <w:pPr>
              <w:pStyle w:val="TableParagraph"/>
              <w:ind w:right="36"/>
              <w:jc w:val="right"/>
              <w:rPr>
                <w:sz w:val="11"/>
              </w:rPr>
            </w:pPr>
            <w:r>
              <w:rPr>
                <w:color w:val="231F20"/>
                <w:w w:val="105"/>
                <w:sz w:val="11"/>
              </w:rPr>
              <w:t>0.90</w:t>
            </w:r>
          </w:p>
        </w:tc>
        <w:tc>
          <w:tcPr>
            <w:tcW w:w="464" w:type="dxa"/>
          </w:tcPr>
          <w:p>
            <w:pPr>
              <w:pStyle w:val="TableParagraph"/>
              <w:ind w:left="78" w:right="53"/>
              <w:jc w:val="center"/>
              <w:rPr>
                <w:sz w:val="11"/>
              </w:rPr>
            </w:pPr>
            <w:r>
              <w:rPr>
                <w:color w:val="231F20"/>
                <w:w w:val="105"/>
                <w:sz w:val="11"/>
              </w:rPr>
              <w:t>15.00</w:t>
            </w:r>
          </w:p>
        </w:tc>
        <w:tc>
          <w:tcPr>
            <w:tcW w:w="826" w:type="dxa"/>
          </w:tcPr>
          <w:p>
            <w:pPr>
              <w:pStyle w:val="TableParagraph"/>
              <w:ind w:left="47" w:right="10"/>
              <w:jc w:val="center"/>
              <w:rPr>
                <w:sz w:val="11"/>
              </w:rPr>
            </w:pPr>
            <w:r>
              <w:rPr>
                <w:color w:val="231F20"/>
                <w:w w:val="105"/>
                <w:sz w:val="11"/>
              </w:rPr>
              <w:t>395</w:t>
            </w:r>
          </w:p>
        </w:tc>
      </w:tr>
      <w:tr>
        <w:trPr>
          <w:trHeight w:val="146" w:hRule="atLeast"/>
        </w:trPr>
        <w:tc>
          <w:tcPr>
            <w:tcW w:w="1537" w:type="dxa"/>
          </w:tcPr>
          <w:p>
            <w:pPr>
              <w:pStyle w:val="TableParagraph"/>
              <w:ind w:left="23"/>
              <w:rPr>
                <w:sz w:val="11"/>
              </w:rPr>
            </w:pPr>
            <w:r>
              <w:rPr>
                <w:color w:val="ED2024"/>
                <w:w w:val="105"/>
                <w:sz w:val="11"/>
              </w:rPr>
              <w:t>Geco</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West.Superior (Kenoran)</w:t>
            </w:r>
          </w:p>
        </w:tc>
        <w:tc>
          <w:tcPr>
            <w:tcW w:w="910" w:type="dxa"/>
          </w:tcPr>
          <w:p>
            <w:pPr>
              <w:pStyle w:val="TableParagraph"/>
              <w:ind w:right="176"/>
              <w:jc w:val="right"/>
              <w:rPr>
                <w:sz w:val="11"/>
              </w:rPr>
            </w:pPr>
            <w:r>
              <w:rPr>
                <w:color w:val="ED2024"/>
                <w:w w:val="105"/>
                <w:sz w:val="11"/>
              </w:rPr>
              <w:t>58.40</w:t>
            </w:r>
          </w:p>
        </w:tc>
        <w:tc>
          <w:tcPr>
            <w:tcW w:w="364" w:type="dxa"/>
          </w:tcPr>
          <w:p>
            <w:pPr>
              <w:pStyle w:val="TableParagraph"/>
              <w:ind w:right="16"/>
              <w:jc w:val="right"/>
              <w:rPr>
                <w:sz w:val="11"/>
              </w:rPr>
            </w:pPr>
            <w:r>
              <w:rPr>
                <w:color w:val="ED2024"/>
                <w:w w:val="105"/>
                <w:sz w:val="11"/>
              </w:rPr>
              <w:t>1.86</w:t>
            </w:r>
          </w:p>
        </w:tc>
        <w:tc>
          <w:tcPr>
            <w:tcW w:w="426" w:type="dxa"/>
          </w:tcPr>
          <w:p>
            <w:pPr>
              <w:pStyle w:val="TableParagraph"/>
              <w:ind w:right="58"/>
              <w:jc w:val="right"/>
              <w:rPr>
                <w:sz w:val="11"/>
              </w:rPr>
            </w:pPr>
            <w:r>
              <w:rPr>
                <w:color w:val="ED2024"/>
                <w:w w:val="105"/>
                <w:sz w:val="11"/>
              </w:rPr>
              <w:t>0.15</w:t>
            </w:r>
          </w:p>
        </w:tc>
        <w:tc>
          <w:tcPr>
            <w:tcW w:w="357" w:type="dxa"/>
          </w:tcPr>
          <w:p>
            <w:pPr>
              <w:pStyle w:val="TableParagraph"/>
              <w:ind w:right="60"/>
              <w:jc w:val="right"/>
              <w:rPr>
                <w:sz w:val="11"/>
              </w:rPr>
            </w:pPr>
            <w:r>
              <w:rPr>
                <w:color w:val="ED2024"/>
                <w:w w:val="105"/>
                <w:sz w:val="11"/>
              </w:rPr>
              <w:t>3.45</w:t>
            </w:r>
          </w:p>
        </w:tc>
        <w:tc>
          <w:tcPr>
            <w:tcW w:w="398" w:type="dxa"/>
          </w:tcPr>
          <w:p>
            <w:pPr>
              <w:pStyle w:val="TableParagraph"/>
              <w:spacing w:line="240" w:lineRule="auto" w:before="0"/>
              <w:rPr>
                <w:rFonts w:ascii="Times New Roman"/>
                <w:sz w:val="8"/>
              </w:rPr>
            </w:pPr>
          </w:p>
        </w:tc>
        <w:tc>
          <w:tcPr>
            <w:tcW w:w="464" w:type="dxa"/>
          </w:tcPr>
          <w:p>
            <w:pPr>
              <w:pStyle w:val="TableParagraph"/>
              <w:ind w:left="78" w:right="53"/>
              <w:jc w:val="center"/>
              <w:rPr>
                <w:sz w:val="11"/>
              </w:rPr>
            </w:pPr>
            <w:r>
              <w:rPr>
                <w:color w:val="ED2024"/>
                <w:w w:val="105"/>
                <w:sz w:val="11"/>
              </w:rPr>
              <w:t>50.06</w:t>
            </w:r>
          </w:p>
        </w:tc>
        <w:tc>
          <w:tcPr>
            <w:tcW w:w="826" w:type="dxa"/>
          </w:tcPr>
          <w:p>
            <w:pPr>
              <w:pStyle w:val="TableParagraph"/>
              <w:ind w:left="47" w:right="10"/>
              <w:jc w:val="center"/>
              <w:rPr>
                <w:sz w:val="11"/>
              </w:rPr>
            </w:pPr>
            <w:r>
              <w:rPr>
                <w:color w:val="ED2024"/>
                <w:w w:val="105"/>
                <w:sz w:val="11"/>
              </w:rPr>
              <w:t>2720</w:t>
            </w:r>
          </w:p>
        </w:tc>
      </w:tr>
      <w:tr>
        <w:trPr>
          <w:trHeight w:val="146" w:hRule="atLeast"/>
        </w:trPr>
        <w:tc>
          <w:tcPr>
            <w:tcW w:w="1537" w:type="dxa"/>
          </w:tcPr>
          <w:p>
            <w:pPr>
              <w:pStyle w:val="TableParagraph"/>
              <w:spacing w:line="115" w:lineRule="exact"/>
              <w:ind w:left="23"/>
              <w:rPr>
                <w:sz w:val="11"/>
              </w:rPr>
            </w:pPr>
            <w:r>
              <w:rPr>
                <w:color w:val="231F20"/>
                <w:w w:val="105"/>
                <w:sz w:val="11"/>
              </w:rPr>
              <w:t>Tambo Grande 1</w:t>
            </w:r>
          </w:p>
        </w:tc>
        <w:tc>
          <w:tcPr>
            <w:tcW w:w="860" w:type="dxa"/>
          </w:tcPr>
          <w:p>
            <w:pPr>
              <w:pStyle w:val="TableParagraph"/>
              <w:spacing w:line="115" w:lineRule="exact"/>
              <w:ind w:left="114"/>
              <w:rPr>
                <w:sz w:val="11"/>
              </w:rPr>
            </w:pPr>
            <w:r>
              <w:rPr>
                <w:color w:val="231F20"/>
                <w:w w:val="105"/>
                <w:sz w:val="11"/>
              </w:rPr>
              <w:t>Peru</w:t>
            </w:r>
          </w:p>
        </w:tc>
        <w:tc>
          <w:tcPr>
            <w:tcW w:w="1652" w:type="dxa"/>
          </w:tcPr>
          <w:p>
            <w:pPr>
              <w:pStyle w:val="TableParagraph"/>
              <w:spacing w:line="115" w:lineRule="exact"/>
              <w:ind w:left="106"/>
              <w:rPr>
                <w:sz w:val="11"/>
              </w:rPr>
            </w:pPr>
            <w:r>
              <w:rPr>
                <w:color w:val="231F20"/>
                <w:w w:val="105"/>
                <w:sz w:val="11"/>
              </w:rPr>
              <w:t>S.Cordilleran</w:t>
            </w:r>
          </w:p>
        </w:tc>
        <w:tc>
          <w:tcPr>
            <w:tcW w:w="910" w:type="dxa"/>
          </w:tcPr>
          <w:p>
            <w:pPr>
              <w:pStyle w:val="TableParagraph"/>
              <w:spacing w:line="115" w:lineRule="exact"/>
              <w:ind w:right="176"/>
              <w:jc w:val="right"/>
              <w:rPr>
                <w:sz w:val="11"/>
              </w:rPr>
            </w:pPr>
            <w:r>
              <w:rPr>
                <w:color w:val="231F20"/>
                <w:w w:val="105"/>
                <w:sz w:val="11"/>
              </w:rPr>
              <w:t>56.20</w:t>
            </w:r>
          </w:p>
        </w:tc>
        <w:tc>
          <w:tcPr>
            <w:tcW w:w="364" w:type="dxa"/>
          </w:tcPr>
          <w:p>
            <w:pPr>
              <w:pStyle w:val="TableParagraph"/>
              <w:spacing w:line="115" w:lineRule="exact"/>
              <w:ind w:right="16"/>
              <w:jc w:val="right"/>
              <w:rPr>
                <w:sz w:val="11"/>
              </w:rPr>
            </w:pPr>
            <w:r>
              <w:rPr>
                <w:color w:val="231F20"/>
                <w:w w:val="105"/>
                <w:sz w:val="11"/>
              </w:rPr>
              <w:t>1.6</w:t>
            </w:r>
          </w:p>
        </w:tc>
        <w:tc>
          <w:tcPr>
            <w:tcW w:w="426" w:type="dxa"/>
          </w:tcPr>
          <w:p>
            <w:pPr>
              <w:pStyle w:val="TableParagraph"/>
              <w:spacing w:line="115" w:lineRule="exact"/>
              <w:ind w:right="58"/>
              <w:jc w:val="right"/>
              <w:rPr>
                <w:sz w:val="11"/>
              </w:rPr>
            </w:pPr>
            <w:r>
              <w:rPr>
                <w:color w:val="231F20"/>
                <w:w w:val="105"/>
                <w:sz w:val="11"/>
              </w:rPr>
              <w:t>0.3</w:t>
            </w:r>
          </w:p>
        </w:tc>
        <w:tc>
          <w:tcPr>
            <w:tcW w:w="357" w:type="dxa"/>
          </w:tcPr>
          <w:p>
            <w:pPr>
              <w:pStyle w:val="TableParagraph"/>
              <w:spacing w:line="115" w:lineRule="exact"/>
              <w:ind w:right="59"/>
              <w:jc w:val="right"/>
              <w:rPr>
                <w:sz w:val="11"/>
              </w:rPr>
            </w:pPr>
            <w:r>
              <w:rPr>
                <w:color w:val="231F20"/>
                <w:w w:val="106"/>
                <w:sz w:val="11"/>
              </w:rPr>
              <w:t>1</w:t>
            </w:r>
          </w:p>
        </w:tc>
        <w:tc>
          <w:tcPr>
            <w:tcW w:w="398" w:type="dxa"/>
          </w:tcPr>
          <w:p>
            <w:pPr>
              <w:pStyle w:val="TableParagraph"/>
              <w:spacing w:line="115" w:lineRule="exact"/>
              <w:ind w:right="36"/>
              <w:jc w:val="right"/>
              <w:rPr>
                <w:sz w:val="11"/>
              </w:rPr>
            </w:pPr>
            <w:r>
              <w:rPr>
                <w:color w:val="231F20"/>
                <w:w w:val="105"/>
                <w:sz w:val="11"/>
              </w:rPr>
              <w:t>0.50</w:t>
            </w:r>
          </w:p>
        </w:tc>
        <w:tc>
          <w:tcPr>
            <w:tcW w:w="464" w:type="dxa"/>
          </w:tcPr>
          <w:p>
            <w:pPr>
              <w:pStyle w:val="TableParagraph"/>
              <w:spacing w:line="115" w:lineRule="exact"/>
              <w:ind w:left="78" w:right="54"/>
              <w:jc w:val="center"/>
              <w:rPr>
                <w:sz w:val="11"/>
              </w:rPr>
            </w:pPr>
            <w:r>
              <w:rPr>
                <w:color w:val="231F20"/>
                <w:w w:val="105"/>
                <w:sz w:val="11"/>
              </w:rPr>
              <w:t>26.00</w:t>
            </w:r>
          </w:p>
        </w:tc>
        <w:tc>
          <w:tcPr>
            <w:tcW w:w="826" w:type="dxa"/>
          </w:tcPr>
          <w:p>
            <w:pPr>
              <w:pStyle w:val="TableParagraph"/>
              <w:spacing w:line="115" w:lineRule="exact"/>
              <w:ind w:left="47" w:right="10"/>
              <w:jc w:val="center"/>
              <w:rPr>
                <w:sz w:val="11"/>
              </w:rPr>
            </w:pPr>
            <w:r>
              <w:rPr>
                <w:color w:val="231F20"/>
                <w:w w:val="105"/>
                <w:sz w:val="11"/>
              </w:rPr>
              <w:t>104</w:t>
            </w:r>
          </w:p>
        </w:tc>
      </w:tr>
      <w:tr>
        <w:trPr>
          <w:trHeight w:val="146" w:hRule="atLeast"/>
        </w:trPr>
        <w:tc>
          <w:tcPr>
            <w:tcW w:w="1537" w:type="dxa"/>
          </w:tcPr>
          <w:p>
            <w:pPr>
              <w:pStyle w:val="TableParagraph"/>
              <w:spacing w:line="115" w:lineRule="exact"/>
              <w:ind w:left="23"/>
              <w:rPr>
                <w:sz w:val="11"/>
              </w:rPr>
            </w:pPr>
            <w:r>
              <w:rPr>
                <w:color w:val="231F20"/>
                <w:w w:val="105"/>
                <w:sz w:val="11"/>
              </w:rPr>
              <w:t>Deerni (Cu-Co)</w:t>
            </w:r>
          </w:p>
        </w:tc>
        <w:tc>
          <w:tcPr>
            <w:tcW w:w="860" w:type="dxa"/>
          </w:tcPr>
          <w:p>
            <w:pPr>
              <w:pStyle w:val="TableParagraph"/>
              <w:ind w:left="113"/>
              <w:rPr>
                <w:sz w:val="11"/>
              </w:rPr>
            </w:pPr>
            <w:r>
              <w:rPr>
                <w:color w:val="231F20"/>
                <w:w w:val="105"/>
                <w:sz w:val="11"/>
              </w:rPr>
              <w:t>China</w:t>
            </w:r>
          </w:p>
        </w:tc>
        <w:tc>
          <w:tcPr>
            <w:tcW w:w="1652" w:type="dxa"/>
          </w:tcPr>
          <w:p>
            <w:pPr>
              <w:pStyle w:val="TableParagraph"/>
              <w:ind w:left="105"/>
              <w:rPr>
                <w:sz w:val="11"/>
              </w:rPr>
            </w:pPr>
            <w:r>
              <w:rPr>
                <w:color w:val="231F20"/>
                <w:w w:val="105"/>
                <w:sz w:val="11"/>
              </w:rPr>
              <w:t>Indosinian (Tethyan)</w:t>
            </w:r>
          </w:p>
        </w:tc>
        <w:tc>
          <w:tcPr>
            <w:tcW w:w="910" w:type="dxa"/>
          </w:tcPr>
          <w:p>
            <w:pPr>
              <w:pStyle w:val="TableParagraph"/>
              <w:ind w:right="177"/>
              <w:jc w:val="right"/>
              <w:rPr>
                <w:sz w:val="11"/>
              </w:rPr>
            </w:pPr>
            <w:r>
              <w:rPr>
                <w:color w:val="231F20"/>
                <w:w w:val="105"/>
                <w:sz w:val="11"/>
              </w:rPr>
              <w:t>54.00</w:t>
            </w:r>
          </w:p>
        </w:tc>
        <w:tc>
          <w:tcPr>
            <w:tcW w:w="364" w:type="dxa"/>
          </w:tcPr>
          <w:p>
            <w:pPr>
              <w:pStyle w:val="TableParagraph"/>
              <w:ind w:right="16"/>
              <w:jc w:val="right"/>
              <w:rPr>
                <w:sz w:val="11"/>
              </w:rPr>
            </w:pPr>
            <w:r>
              <w:rPr>
                <w:color w:val="231F20"/>
                <w:w w:val="105"/>
                <w:sz w:val="11"/>
              </w:rPr>
              <w:t>1.23</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1.57</w:t>
            </w:r>
          </w:p>
        </w:tc>
        <w:tc>
          <w:tcPr>
            <w:tcW w:w="398" w:type="dxa"/>
          </w:tcPr>
          <w:p>
            <w:pPr>
              <w:pStyle w:val="TableParagraph"/>
              <w:ind w:right="37"/>
              <w:jc w:val="right"/>
              <w:rPr>
                <w:sz w:val="11"/>
              </w:rPr>
            </w:pPr>
            <w:r>
              <w:rPr>
                <w:color w:val="231F20"/>
                <w:w w:val="105"/>
                <w:sz w:val="11"/>
              </w:rPr>
              <w:t>0.42</w:t>
            </w:r>
          </w:p>
        </w:tc>
        <w:tc>
          <w:tcPr>
            <w:tcW w:w="464" w:type="dxa"/>
          </w:tcPr>
          <w:p>
            <w:pPr>
              <w:pStyle w:val="TableParagraph"/>
              <w:ind w:left="143" w:right="54"/>
              <w:jc w:val="center"/>
              <w:rPr>
                <w:sz w:val="11"/>
              </w:rPr>
            </w:pPr>
            <w:r>
              <w:rPr>
                <w:color w:val="231F20"/>
                <w:w w:val="105"/>
                <w:sz w:val="11"/>
              </w:rPr>
              <w:t>4.73</w:t>
            </w:r>
          </w:p>
        </w:tc>
        <w:tc>
          <w:tcPr>
            <w:tcW w:w="826" w:type="dxa"/>
          </w:tcPr>
          <w:p>
            <w:pPr>
              <w:pStyle w:val="TableParagraph"/>
              <w:ind w:left="45" w:right="10"/>
              <w:jc w:val="center"/>
              <w:rPr>
                <w:sz w:val="11"/>
              </w:rPr>
            </w:pPr>
            <w:r>
              <w:rPr>
                <w:color w:val="231F20"/>
                <w:w w:val="105"/>
                <w:sz w:val="11"/>
              </w:rPr>
              <w:t>260</w:t>
            </w:r>
          </w:p>
        </w:tc>
      </w:tr>
      <w:tr>
        <w:trPr>
          <w:trHeight w:val="146" w:hRule="atLeast"/>
        </w:trPr>
        <w:tc>
          <w:tcPr>
            <w:tcW w:w="1537" w:type="dxa"/>
          </w:tcPr>
          <w:p>
            <w:pPr>
              <w:pStyle w:val="TableParagraph"/>
              <w:ind w:left="22"/>
              <w:rPr>
                <w:sz w:val="11"/>
              </w:rPr>
            </w:pPr>
            <w:r>
              <w:rPr>
                <w:color w:val="ED2024"/>
                <w:w w:val="105"/>
                <w:sz w:val="11"/>
              </w:rPr>
              <w:t>Horne-H&amp;G Orebodies</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6"/>
              <w:rPr>
                <w:sz w:val="11"/>
              </w:rPr>
            </w:pPr>
            <w:r>
              <w:rPr>
                <w:color w:val="ED2024"/>
                <w:w w:val="105"/>
                <w:sz w:val="11"/>
              </w:rPr>
              <w:t>Abitibi (Kenoran)</w:t>
            </w:r>
          </w:p>
        </w:tc>
        <w:tc>
          <w:tcPr>
            <w:tcW w:w="910" w:type="dxa"/>
          </w:tcPr>
          <w:p>
            <w:pPr>
              <w:pStyle w:val="TableParagraph"/>
              <w:ind w:right="176"/>
              <w:jc w:val="right"/>
              <w:rPr>
                <w:sz w:val="11"/>
              </w:rPr>
            </w:pPr>
            <w:r>
              <w:rPr>
                <w:color w:val="ED2024"/>
                <w:w w:val="105"/>
                <w:sz w:val="11"/>
              </w:rPr>
              <w:t>53.70</w:t>
            </w:r>
          </w:p>
        </w:tc>
        <w:tc>
          <w:tcPr>
            <w:tcW w:w="364" w:type="dxa"/>
          </w:tcPr>
          <w:p>
            <w:pPr>
              <w:pStyle w:val="TableParagraph"/>
              <w:ind w:right="16"/>
              <w:jc w:val="right"/>
              <w:rPr>
                <w:sz w:val="11"/>
              </w:rPr>
            </w:pPr>
            <w:r>
              <w:rPr>
                <w:color w:val="ED2024"/>
                <w:w w:val="105"/>
                <w:sz w:val="11"/>
              </w:rPr>
              <w:t>2.2</w:t>
            </w:r>
          </w:p>
        </w:tc>
        <w:tc>
          <w:tcPr>
            <w:tcW w:w="426" w:type="dxa"/>
          </w:tcPr>
          <w:p>
            <w:pPr>
              <w:pStyle w:val="TableParagraph"/>
              <w:spacing w:line="240" w:lineRule="auto" w:before="0"/>
              <w:rPr>
                <w:rFonts w:ascii="Times New Roman"/>
                <w:sz w:val="8"/>
              </w:rPr>
            </w:pPr>
          </w:p>
        </w:tc>
        <w:tc>
          <w:tcPr>
            <w:tcW w:w="357" w:type="dxa"/>
          </w:tcPr>
          <w:p>
            <w:pPr>
              <w:pStyle w:val="TableParagraph"/>
              <w:spacing w:line="240" w:lineRule="auto" w:before="0"/>
              <w:rPr>
                <w:rFonts w:ascii="Times New Roman"/>
                <w:sz w:val="8"/>
              </w:rPr>
            </w:pPr>
          </w:p>
        </w:tc>
        <w:tc>
          <w:tcPr>
            <w:tcW w:w="398" w:type="dxa"/>
          </w:tcPr>
          <w:p>
            <w:pPr>
              <w:pStyle w:val="TableParagraph"/>
              <w:ind w:right="37"/>
              <w:jc w:val="right"/>
              <w:rPr>
                <w:sz w:val="11"/>
              </w:rPr>
            </w:pPr>
            <w:r>
              <w:rPr>
                <w:color w:val="ED2024"/>
                <w:w w:val="105"/>
                <w:sz w:val="11"/>
              </w:rPr>
              <w:t>6.10</w:t>
            </w:r>
          </w:p>
        </w:tc>
        <w:tc>
          <w:tcPr>
            <w:tcW w:w="464" w:type="dxa"/>
          </w:tcPr>
          <w:p>
            <w:pPr>
              <w:pStyle w:val="TableParagraph"/>
              <w:ind w:left="78" w:right="54"/>
              <w:jc w:val="center"/>
              <w:rPr>
                <w:sz w:val="11"/>
              </w:rPr>
            </w:pPr>
            <w:r>
              <w:rPr>
                <w:color w:val="ED2024"/>
                <w:w w:val="105"/>
                <w:sz w:val="11"/>
              </w:rPr>
              <w:t>13.00</w:t>
            </w:r>
          </w:p>
        </w:tc>
        <w:tc>
          <w:tcPr>
            <w:tcW w:w="826" w:type="dxa"/>
          </w:tcPr>
          <w:p>
            <w:pPr>
              <w:pStyle w:val="TableParagraph"/>
              <w:ind w:left="45" w:right="10"/>
              <w:jc w:val="center"/>
              <w:rPr>
                <w:sz w:val="11"/>
              </w:rPr>
            </w:pPr>
            <w:r>
              <w:rPr>
                <w:color w:val="ED2024"/>
                <w:w w:val="105"/>
                <w:sz w:val="11"/>
              </w:rPr>
              <w:t>2700</w:t>
            </w:r>
          </w:p>
        </w:tc>
      </w:tr>
      <w:tr>
        <w:trPr>
          <w:trHeight w:val="146" w:hRule="atLeast"/>
        </w:trPr>
        <w:tc>
          <w:tcPr>
            <w:tcW w:w="1537" w:type="dxa"/>
          </w:tcPr>
          <w:p>
            <w:pPr>
              <w:pStyle w:val="TableParagraph"/>
              <w:ind w:left="22"/>
              <w:rPr>
                <w:sz w:val="11"/>
              </w:rPr>
            </w:pPr>
            <w:r>
              <w:rPr>
                <w:color w:val="231F20"/>
                <w:w w:val="105"/>
                <w:sz w:val="11"/>
              </w:rPr>
              <w:t>Mount Morgan</w:t>
            </w:r>
          </w:p>
        </w:tc>
        <w:tc>
          <w:tcPr>
            <w:tcW w:w="860" w:type="dxa"/>
          </w:tcPr>
          <w:p>
            <w:pPr>
              <w:pStyle w:val="TableParagraph"/>
              <w:ind w:left="113"/>
              <w:rPr>
                <w:sz w:val="11"/>
              </w:rPr>
            </w:pPr>
            <w:r>
              <w:rPr>
                <w:color w:val="231F20"/>
                <w:w w:val="105"/>
                <w:sz w:val="11"/>
              </w:rPr>
              <w:t>Australia</w:t>
            </w:r>
          </w:p>
        </w:tc>
        <w:tc>
          <w:tcPr>
            <w:tcW w:w="1652" w:type="dxa"/>
          </w:tcPr>
          <w:p>
            <w:pPr>
              <w:pStyle w:val="TableParagraph"/>
              <w:ind w:left="105"/>
              <w:rPr>
                <w:sz w:val="11"/>
              </w:rPr>
            </w:pPr>
            <w:r>
              <w:rPr>
                <w:color w:val="231F20"/>
                <w:w w:val="105"/>
                <w:sz w:val="11"/>
              </w:rPr>
              <w:t>Tasman</w:t>
            </w:r>
          </w:p>
        </w:tc>
        <w:tc>
          <w:tcPr>
            <w:tcW w:w="910" w:type="dxa"/>
          </w:tcPr>
          <w:p>
            <w:pPr>
              <w:pStyle w:val="TableParagraph"/>
              <w:ind w:right="177"/>
              <w:jc w:val="right"/>
              <w:rPr>
                <w:sz w:val="11"/>
              </w:rPr>
            </w:pPr>
            <w:r>
              <w:rPr>
                <w:color w:val="231F20"/>
                <w:w w:val="105"/>
                <w:sz w:val="11"/>
              </w:rPr>
              <w:t>50.00</w:t>
            </w:r>
          </w:p>
        </w:tc>
        <w:tc>
          <w:tcPr>
            <w:tcW w:w="364" w:type="dxa"/>
          </w:tcPr>
          <w:p>
            <w:pPr>
              <w:pStyle w:val="TableParagraph"/>
              <w:ind w:right="16"/>
              <w:jc w:val="right"/>
              <w:rPr>
                <w:sz w:val="11"/>
              </w:rPr>
            </w:pPr>
            <w:r>
              <w:rPr>
                <w:color w:val="231F20"/>
                <w:w w:val="105"/>
                <w:sz w:val="11"/>
              </w:rPr>
              <w:t>0.7</w:t>
            </w:r>
          </w:p>
        </w:tc>
        <w:tc>
          <w:tcPr>
            <w:tcW w:w="426" w:type="dxa"/>
          </w:tcPr>
          <w:p>
            <w:pPr>
              <w:pStyle w:val="TableParagraph"/>
              <w:ind w:right="59"/>
              <w:jc w:val="right"/>
              <w:rPr>
                <w:sz w:val="11"/>
              </w:rPr>
            </w:pPr>
            <w:r>
              <w:rPr>
                <w:color w:val="231F20"/>
                <w:w w:val="105"/>
                <w:sz w:val="11"/>
              </w:rPr>
              <w:t>0.05</w:t>
            </w:r>
          </w:p>
        </w:tc>
        <w:tc>
          <w:tcPr>
            <w:tcW w:w="357" w:type="dxa"/>
          </w:tcPr>
          <w:p>
            <w:pPr>
              <w:pStyle w:val="TableParagraph"/>
              <w:ind w:right="60"/>
              <w:jc w:val="right"/>
              <w:rPr>
                <w:sz w:val="11"/>
              </w:rPr>
            </w:pPr>
            <w:r>
              <w:rPr>
                <w:color w:val="231F20"/>
                <w:w w:val="105"/>
                <w:sz w:val="11"/>
              </w:rPr>
              <w:t>0.1</w:t>
            </w:r>
          </w:p>
        </w:tc>
        <w:tc>
          <w:tcPr>
            <w:tcW w:w="398" w:type="dxa"/>
          </w:tcPr>
          <w:p>
            <w:pPr>
              <w:pStyle w:val="TableParagraph"/>
              <w:ind w:right="37"/>
              <w:jc w:val="right"/>
              <w:rPr>
                <w:sz w:val="11"/>
              </w:rPr>
            </w:pPr>
            <w:r>
              <w:rPr>
                <w:color w:val="231F20"/>
                <w:w w:val="105"/>
                <w:sz w:val="11"/>
              </w:rPr>
              <w:t>4.70</w:t>
            </w:r>
          </w:p>
        </w:tc>
        <w:tc>
          <w:tcPr>
            <w:tcW w:w="464" w:type="dxa"/>
          </w:tcPr>
          <w:p>
            <w:pPr>
              <w:pStyle w:val="TableParagraph"/>
              <w:ind w:left="143" w:right="54"/>
              <w:jc w:val="center"/>
              <w:rPr>
                <w:sz w:val="11"/>
              </w:rPr>
            </w:pPr>
            <w:r>
              <w:rPr>
                <w:color w:val="231F20"/>
                <w:w w:val="105"/>
                <w:sz w:val="11"/>
              </w:rPr>
              <w:t>0.60</w:t>
            </w:r>
          </w:p>
        </w:tc>
        <w:tc>
          <w:tcPr>
            <w:tcW w:w="826" w:type="dxa"/>
          </w:tcPr>
          <w:p>
            <w:pPr>
              <w:pStyle w:val="TableParagraph"/>
              <w:ind w:left="45" w:right="10"/>
              <w:jc w:val="center"/>
              <w:rPr>
                <w:sz w:val="11"/>
              </w:rPr>
            </w:pPr>
            <w:r>
              <w:rPr>
                <w:color w:val="231F20"/>
                <w:w w:val="105"/>
                <w:sz w:val="11"/>
              </w:rPr>
              <w:t>385</w:t>
            </w:r>
          </w:p>
        </w:tc>
      </w:tr>
      <w:tr>
        <w:trPr>
          <w:trHeight w:val="146" w:hRule="atLeast"/>
        </w:trPr>
        <w:tc>
          <w:tcPr>
            <w:tcW w:w="1537" w:type="dxa"/>
          </w:tcPr>
          <w:p>
            <w:pPr>
              <w:pStyle w:val="TableParagraph"/>
              <w:spacing w:line="115" w:lineRule="exact"/>
              <w:ind w:left="22"/>
              <w:rPr>
                <w:sz w:val="11"/>
              </w:rPr>
            </w:pPr>
            <w:r>
              <w:rPr>
                <w:color w:val="231F20"/>
                <w:w w:val="105"/>
                <w:sz w:val="11"/>
              </w:rPr>
              <w:t>Outokumpu(Cu,Zn,Co)</w:t>
            </w:r>
          </w:p>
        </w:tc>
        <w:tc>
          <w:tcPr>
            <w:tcW w:w="860" w:type="dxa"/>
          </w:tcPr>
          <w:p>
            <w:pPr>
              <w:pStyle w:val="TableParagraph"/>
              <w:spacing w:line="115" w:lineRule="exact"/>
              <w:ind w:left="113"/>
              <w:rPr>
                <w:sz w:val="11"/>
              </w:rPr>
            </w:pPr>
            <w:r>
              <w:rPr>
                <w:color w:val="231F20"/>
                <w:w w:val="105"/>
                <w:sz w:val="11"/>
              </w:rPr>
              <w:t>Finland</w:t>
            </w:r>
          </w:p>
        </w:tc>
        <w:tc>
          <w:tcPr>
            <w:tcW w:w="1652" w:type="dxa"/>
          </w:tcPr>
          <w:p>
            <w:pPr>
              <w:pStyle w:val="TableParagraph"/>
              <w:spacing w:line="115" w:lineRule="exact"/>
              <w:ind w:left="105"/>
              <w:rPr>
                <w:sz w:val="11"/>
              </w:rPr>
            </w:pPr>
            <w:r>
              <w:rPr>
                <w:color w:val="231F20"/>
                <w:w w:val="105"/>
                <w:sz w:val="11"/>
              </w:rPr>
              <w:t>Svecokarelian</w:t>
            </w:r>
          </w:p>
        </w:tc>
        <w:tc>
          <w:tcPr>
            <w:tcW w:w="910" w:type="dxa"/>
          </w:tcPr>
          <w:p>
            <w:pPr>
              <w:pStyle w:val="TableParagraph"/>
              <w:spacing w:line="115" w:lineRule="exact"/>
              <w:ind w:right="177"/>
              <w:jc w:val="right"/>
              <w:rPr>
                <w:sz w:val="11"/>
              </w:rPr>
            </w:pPr>
            <w:r>
              <w:rPr>
                <w:color w:val="231F20"/>
                <w:w w:val="105"/>
                <w:sz w:val="11"/>
              </w:rPr>
              <w:t>50.00</w:t>
            </w:r>
          </w:p>
        </w:tc>
        <w:tc>
          <w:tcPr>
            <w:tcW w:w="364" w:type="dxa"/>
          </w:tcPr>
          <w:p>
            <w:pPr>
              <w:pStyle w:val="TableParagraph"/>
              <w:spacing w:line="115" w:lineRule="exact"/>
              <w:ind w:right="16"/>
              <w:jc w:val="right"/>
              <w:rPr>
                <w:sz w:val="11"/>
              </w:rPr>
            </w:pPr>
            <w:r>
              <w:rPr>
                <w:color w:val="231F20"/>
                <w:w w:val="105"/>
                <w:sz w:val="11"/>
              </w:rPr>
              <w:t>3.3</w:t>
            </w:r>
          </w:p>
        </w:tc>
        <w:tc>
          <w:tcPr>
            <w:tcW w:w="426" w:type="dxa"/>
          </w:tcPr>
          <w:p>
            <w:pPr>
              <w:pStyle w:val="TableParagraph"/>
              <w:spacing w:line="115" w:lineRule="exact"/>
              <w:ind w:right="59"/>
              <w:jc w:val="right"/>
              <w:rPr>
                <w:sz w:val="11"/>
              </w:rPr>
            </w:pPr>
            <w:r>
              <w:rPr>
                <w:color w:val="231F20"/>
                <w:w w:val="105"/>
                <w:sz w:val="11"/>
              </w:rPr>
              <w:t>0.005</w:t>
            </w:r>
          </w:p>
        </w:tc>
        <w:tc>
          <w:tcPr>
            <w:tcW w:w="357" w:type="dxa"/>
          </w:tcPr>
          <w:p>
            <w:pPr>
              <w:pStyle w:val="TableParagraph"/>
              <w:spacing w:line="115" w:lineRule="exact"/>
              <w:ind w:right="60"/>
              <w:jc w:val="right"/>
              <w:rPr>
                <w:sz w:val="11"/>
              </w:rPr>
            </w:pPr>
            <w:r>
              <w:rPr>
                <w:color w:val="231F20"/>
                <w:w w:val="105"/>
                <w:sz w:val="11"/>
              </w:rPr>
              <w:t>1.07</w:t>
            </w:r>
          </w:p>
        </w:tc>
        <w:tc>
          <w:tcPr>
            <w:tcW w:w="398" w:type="dxa"/>
          </w:tcPr>
          <w:p>
            <w:pPr>
              <w:pStyle w:val="TableParagraph"/>
              <w:spacing w:line="115" w:lineRule="exact"/>
              <w:ind w:right="37"/>
              <w:jc w:val="right"/>
              <w:rPr>
                <w:sz w:val="11"/>
              </w:rPr>
            </w:pPr>
            <w:r>
              <w:rPr>
                <w:color w:val="231F20"/>
                <w:w w:val="105"/>
                <w:sz w:val="11"/>
              </w:rPr>
              <w:t>0.07</w:t>
            </w:r>
          </w:p>
        </w:tc>
        <w:tc>
          <w:tcPr>
            <w:tcW w:w="464" w:type="dxa"/>
          </w:tcPr>
          <w:p>
            <w:pPr>
              <w:pStyle w:val="TableParagraph"/>
              <w:spacing w:line="115" w:lineRule="exact"/>
              <w:ind w:left="143" w:right="54"/>
              <w:jc w:val="center"/>
              <w:rPr>
                <w:sz w:val="11"/>
              </w:rPr>
            </w:pPr>
            <w:r>
              <w:rPr>
                <w:color w:val="231F20"/>
                <w:w w:val="105"/>
                <w:sz w:val="11"/>
              </w:rPr>
              <w:t>9.00</w:t>
            </w:r>
          </w:p>
        </w:tc>
        <w:tc>
          <w:tcPr>
            <w:tcW w:w="826" w:type="dxa"/>
          </w:tcPr>
          <w:p>
            <w:pPr>
              <w:pStyle w:val="TableParagraph"/>
              <w:spacing w:line="115" w:lineRule="exact"/>
              <w:ind w:left="45" w:right="10"/>
              <w:jc w:val="center"/>
              <w:rPr>
                <w:sz w:val="11"/>
              </w:rPr>
            </w:pPr>
            <w:r>
              <w:rPr>
                <w:color w:val="231F20"/>
                <w:w w:val="105"/>
                <w:sz w:val="11"/>
              </w:rPr>
              <w:t>1970</w:t>
            </w:r>
          </w:p>
        </w:tc>
      </w:tr>
      <w:tr>
        <w:trPr>
          <w:trHeight w:val="146" w:hRule="atLeast"/>
        </w:trPr>
        <w:tc>
          <w:tcPr>
            <w:tcW w:w="1537" w:type="dxa"/>
          </w:tcPr>
          <w:p>
            <w:pPr>
              <w:pStyle w:val="TableParagraph"/>
              <w:ind w:left="22"/>
              <w:rPr>
                <w:sz w:val="11"/>
              </w:rPr>
            </w:pPr>
            <w:r>
              <w:rPr>
                <w:color w:val="231F20"/>
                <w:w w:val="105"/>
                <w:sz w:val="11"/>
              </w:rPr>
              <w:t>Artem'yev</w:t>
            </w:r>
          </w:p>
        </w:tc>
        <w:tc>
          <w:tcPr>
            <w:tcW w:w="860" w:type="dxa"/>
          </w:tcPr>
          <w:p>
            <w:pPr>
              <w:pStyle w:val="TableParagraph"/>
              <w:ind w:left="113"/>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50.00</w:t>
            </w:r>
          </w:p>
        </w:tc>
        <w:tc>
          <w:tcPr>
            <w:tcW w:w="364" w:type="dxa"/>
          </w:tcPr>
          <w:p>
            <w:pPr>
              <w:pStyle w:val="TableParagraph"/>
              <w:ind w:right="17"/>
              <w:jc w:val="right"/>
              <w:rPr>
                <w:sz w:val="11"/>
              </w:rPr>
            </w:pPr>
            <w:r>
              <w:rPr>
                <w:color w:val="231F20"/>
                <w:w w:val="105"/>
                <w:sz w:val="11"/>
              </w:rPr>
              <w:t>1.4</w:t>
            </w:r>
          </w:p>
        </w:tc>
        <w:tc>
          <w:tcPr>
            <w:tcW w:w="426" w:type="dxa"/>
          </w:tcPr>
          <w:p>
            <w:pPr>
              <w:pStyle w:val="TableParagraph"/>
              <w:ind w:right="59"/>
              <w:jc w:val="right"/>
              <w:rPr>
                <w:sz w:val="11"/>
              </w:rPr>
            </w:pPr>
            <w:r>
              <w:rPr>
                <w:color w:val="231F20"/>
                <w:w w:val="105"/>
                <w:sz w:val="11"/>
              </w:rPr>
              <w:t>1.6</w:t>
            </w:r>
          </w:p>
        </w:tc>
        <w:tc>
          <w:tcPr>
            <w:tcW w:w="357" w:type="dxa"/>
          </w:tcPr>
          <w:p>
            <w:pPr>
              <w:pStyle w:val="TableParagraph"/>
              <w:ind w:right="60"/>
              <w:jc w:val="right"/>
              <w:rPr>
                <w:sz w:val="11"/>
              </w:rPr>
            </w:pPr>
            <w:r>
              <w:rPr>
                <w:color w:val="231F20"/>
                <w:w w:val="105"/>
                <w:sz w:val="11"/>
              </w:rPr>
              <w:t>2.2</w:t>
            </w:r>
          </w:p>
        </w:tc>
        <w:tc>
          <w:tcPr>
            <w:tcW w:w="398" w:type="dxa"/>
          </w:tcPr>
          <w:p>
            <w:pPr>
              <w:pStyle w:val="TableParagraph"/>
              <w:ind w:right="37"/>
              <w:jc w:val="right"/>
              <w:rPr>
                <w:sz w:val="11"/>
              </w:rPr>
            </w:pPr>
            <w:r>
              <w:rPr>
                <w:color w:val="231F20"/>
                <w:w w:val="105"/>
                <w:sz w:val="11"/>
              </w:rPr>
              <w:t>1.20</w:t>
            </w:r>
          </w:p>
        </w:tc>
        <w:tc>
          <w:tcPr>
            <w:tcW w:w="464" w:type="dxa"/>
          </w:tcPr>
          <w:p>
            <w:pPr>
              <w:pStyle w:val="TableParagraph"/>
              <w:ind w:left="13" w:right="54"/>
              <w:jc w:val="center"/>
              <w:rPr>
                <w:sz w:val="11"/>
              </w:rPr>
            </w:pPr>
            <w:r>
              <w:rPr>
                <w:color w:val="231F20"/>
                <w:w w:val="105"/>
                <w:sz w:val="11"/>
              </w:rPr>
              <w:t>143.00</w:t>
            </w:r>
          </w:p>
        </w:tc>
        <w:tc>
          <w:tcPr>
            <w:tcW w:w="826" w:type="dxa"/>
          </w:tcPr>
          <w:p>
            <w:pPr>
              <w:pStyle w:val="TableParagraph"/>
              <w:ind w:left="44" w:right="10"/>
              <w:jc w:val="center"/>
              <w:rPr>
                <w:sz w:val="11"/>
              </w:rPr>
            </w:pPr>
            <w:r>
              <w:rPr>
                <w:color w:val="231F20"/>
                <w:w w:val="105"/>
                <w:sz w:val="11"/>
              </w:rPr>
              <w:t>375</w:t>
            </w:r>
          </w:p>
        </w:tc>
      </w:tr>
      <w:tr>
        <w:trPr>
          <w:trHeight w:val="156" w:hRule="atLeast"/>
        </w:trPr>
        <w:tc>
          <w:tcPr>
            <w:tcW w:w="1537" w:type="dxa"/>
            <w:tcBorders>
              <w:bottom w:val="single" w:sz="4" w:space="0" w:color="231F20"/>
            </w:tcBorders>
          </w:tcPr>
          <w:p>
            <w:pPr>
              <w:pStyle w:val="TableParagraph"/>
              <w:spacing w:line="126" w:lineRule="exact"/>
              <w:ind w:left="22"/>
              <w:rPr>
                <w:sz w:val="11"/>
              </w:rPr>
            </w:pPr>
            <w:r>
              <w:rPr>
                <w:color w:val="231F20"/>
                <w:w w:val="105"/>
                <w:sz w:val="11"/>
              </w:rPr>
              <w:t>Lousal</w:t>
            </w:r>
          </w:p>
        </w:tc>
        <w:tc>
          <w:tcPr>
            <w:tcW w:w="860" w:type="dxa"/>
            <w:tcBorders>
              <w:bottom w:val="single" w:sz="4" w:space="0" w:color="231F20"/>
            </w:tcBorders>
          </w:tcPr>
          <w:p>
            <w:pPr>
              <w:pStyle w:val="TableParagraph"/>
              <w:spacing w:line="126" w:lineRule="exact"/>
              <w:ind w:left="114"/>
              <w:rPr>
                <w:sz w:val="11"/>
              </w:rPr>
            </w:pPr>
            <w:r>
              <w:rPr>
                <w:color w:val="231F20"/>
                <w:w w:val="105"/>
                <w:sz w:val="11"/>
              </w:rPr>
              <w:t>Portugal</w:t>
            </w:r>
          </w:p>
        </w:tc>
        <w:tc>
          <w:tcPr>
            <w:tcW w:w="1652" w:type="dxa"/>
            <w:tcBorders>
              <w:bottom w:val="single" w:sz="4" w:space="0" w:color="231F20"/>
            </w:tcBorders>
          </w:tcPr>
          <w:p>
            <w:pPr>
              <w:pStyle w:val="TableParagraph"/>
              <w:spacing w:line="126" w:lineRule="exact"/>
              <w:ind w:left="105"/>
              <w:rPr>
                <w:sz w:val="11"/>
              </w:rPr>
            </w:pPr>
            <w:r>
              <w:rPr>
                <w:color w:val="231F20"/>
                <w:w w:val="105"/>
                <w:sz w:val="11"/>
              </w:rPr>
              <w:t>Hercynian</w:t>
            </w:r>
          </w:p>
        </w:tc>
        <w:tc>
          <w:tcPr>
            <w:tcW w:w="910" w:type="dxa"/>
            <w:tcBorders>
              <w:bottom w:val="single" w:sz="4" w:space="0" w:color="231F20"/>
            </w:tcBorders>
          </w:tcPr>
          <w:p>
            <w:pPr>
              <w:pStyle w:val="TableParagraph"/>
              <w:spacing w:line="126" w:lineRule="exact"/>
              <w:ind w:right="177"/>
              <w:jc w:val="right"/>
              <w:rPr>
                <w:sz w:val="11"/>
              </w:rPr>
            </w:pPr>
            <w:r>
              <w:rPr>
                <w:color w:val="231F20"/>
                <w:w w:val="105"/>
                <w:sz w:val="11"/>
              </w:rPr>
              <w:t>50.00</w:t>
            </w:r>
          </w:p>
        </w:tc>
        <w:tc>
          <w:tcPr>
            <w:tcW w:w="364" w:type="dxa"/>
            <w:tcBorders>
              <w:bottom w:val="single" w:sz="4" w:space="0" w:color="231F20"/>
            </w:tcBorders>
          </w:tcPr>
          <w:p>
            <w:pPr>
              <w:pStyle w:val="TableParagraph"/>
              <w:spacing w:line="126" w:lineRule="exact"/>
              <w:ind w:right="16"/>
              <w:jc w:val="right"/>
              <w:rPr>
                <w:sz w:val="11"/>
              </w:rPr>
            </w:pPr>
            <w:r>
              <w:rPr>
                <w:color w:val="231F20"/>
                <w:w w:val="105"/>
                <w:sz w:val="11"/>
              </w:rPr>
              <w:t>0.7</w:t>
            </w:r>
          </w:p>
        </w:tc>
        <w:tc>
          <w:tcPr>
            <w:tcW w:w="426" w:type="dxa"/>
            <w:tcBorders>
              <w:bottom w:val="single" w:sz="4" w:space="0" w:color="231F20"/>
            </w:tcBorders>
          </w:tcPr>
          <w:p>
            <w:pPr>
              <w:pStyle w:val="TableParagraph"/>
              <w:spacing w:line="126" w:lineRule="exact"/>
              <w:ind w:right="59"/>
              <w:jc w:val="right"/>
              <w:rPr>
                <w:sz w:val="11"/>
              </w:rPr>
            </w:pPr>
            <w:r>
              <w:rPr>
                <w:color w:val="231F20"/>
                <w:w w:val="105"/>
                <w:sz w:val="11"/>
              </w:rPr>
              <w:t>0.8</w:t>
            </w:r>
          </w:p>
        </w:tc>
        <w:tc>
          <w:tcPr>
            <w:tcW w:w="357" w:type="dxa"/>
            <w:tcBorders>
              <w:bottom w:val="single" w:sz="4" w:space="0" w:color="231F20"/>
            </w:tcBorders>
          </w:tcPr>
          <w:p>
            <w:pPr>
              <w:pStyle w:val="TableParagraph"/>
              <w:spacing w:line="126" w:lineRule="exact"/>
              <w:ind w:right="60"/>
              <w:jc w:val="right"/>
              <w:rPr>
                <w:sz w:val="11"/>
              </w:rPr>
            </w:pPr>
            <w:r>
              <w:rPr>
                <w:color w:val="231F20"/>
                <w:w w:val="105"/>
                <w:sz w:val="11"/>
              </w:rPr>
              <w:t>1.4</w:t>
            </w:r>
          </w:p>
        </w:tc>
        <w:tc>
          <w:tcPr>
            <w:tcW w:w="398" w:type="dxa"/>
            <w:tcBorders>
              <w:bottom w:val="single" w:sz="4" w:space="0" w:color="231F20"/>
            </w:tcBorders>
          </w:tcPr>
          <w:p>
            <w:pPr>
              <w:pStyle w:val="TableParagraph"/>
              <w:spacing w:line="126" w:lineRule="exact"/>
              <w:ind w:right="37"/>
              <w:jc w:val="right"/>
              <w:rPr>
                <w:sz w:val="11"/>
              </w:rPr>
            </w:pPr>
            <w:r>
              <w:rPr>
                <w:color w:val="231F20"/>
                <w:w w:val="105"/>
                <w:sz w:val="11"/>
              </w:rPr>
              <w:t>0.70</w:t>
            </w:r>
          </w:p>
        </w:tc>
        <w:tc>
          <w:tcPr>
            <w:tcW w:w="464" w:type="dxa"/>
            <w:tcBorders>
              <w:bottom w:val="single" w:sz="4" w:space="0" w:color="231F20"/>
            </w:tcBorders>
          </w:tcPr>
          <w:p>
            <w:pPr>
              <w:pStyle w:val="TableParagraph"/>
              <w:spacing w:line="126" w:lineRule="exact"/>
              <w:ind w:left="77" w:right="54"/>
              <w:jc w:val="center"/>
              <w:rPr>
                <w:sz w:val="11"/>
              </w:rPr>
            </w:pPr>
            <w:r>
              <w:rPr>
                <w:color w:val="231F20"/>
                <w:w w:val="105"/>
                <w:sz w:val="11"/>
              </w:rPr>
              <w:t>21.00</w:t>
            </w:r>
          </w:p>
        </w:tc>
        <w:tc>
          <w:tcPr>
            <w:tcW w:w="826" w:type="dxa"/>
            <w:tcBorders>
              <w:bottom w:val="single" w:sz="4" w:space="0" w:color="231F20"/>
            </w:tcBorders>
          </w:tcPr>
          <w:p>
            <w:pPr>
              <w:pStyle w:val="TableParagraph"/>
              <w:spacing w:line="126" w:lineRule="exact"/>
              <w:ind w:left="45" w:right="10"/>
              <w:jc w:val="center"/>
              <w:rPr>
                <w:sz w:val="11"/>
              </w:rPr>
            </w:pPr>
            <w:r>
              <w:rPr>
                <w:color w:val="231F20"/>
                <w:w w:val="105"/>
                <w:sz w:val="11"/>
              </w:rPr>
              <w:t>300</w:t>
            </w:r>
          </w:p>
        </w:tc>
      </w:tr>
      <w:tr>
        <w:trPr>
          <w:trHeight w:val="271" w:hRule="atLeast"/>
        </w:trPr>
        <w:tc>
          <w:tcPr>
            <w:tcW w:w="1537" w:type="dxa"/>
            <w:tcBorders>
              <w:top w:val="single" w:sz="4" w:space="0" w:color="231F20"/>
            </w:tcBorders>
          </w:tcPr>
          <w:p>
            <w:pPr>
              <w:pStyle w:val="TableParagraph"/>
              <w:spacing w:line="126" w:lineRule="exact"/>
              <w:ind w:left="22"/>
              <w:rPr>
                <w:b/>
                <w:sz w:val="11"/>
              </w:rPr>
            </w:pPr>
            <w:r>
              <w:rPr>
                <w:b/>
                <w:color w:val="231F20"/>
                <w:w w:val="105"/>
                <w:sz w:val="11"/>
              </w:rPr>
              <w:t>LARGE</w:t>
            </w:r>
          </w:p>
          <w:p>
            <w:pPr>
              <w:pStyle w:val="TableParagraph"/>
              <w:spacing w:line="115" w:lineRule="exact" w:before="0"/>
              <w:ind w:left="22"/>
              <w:rPr>
                <w:sz w:val="11"/>
              </w:rPr>
            </w:pPr>
            <w:r>
              <w:rPr>
                <w:color w:val="ED2024"/>
                <w:w w:val="105"/>
                <w:sz w:val="11"/>
              </w:rPr>
              <w:t>Britannia</w:t>
            </w:r>
          </w:p>
        </w:tc>
        <w:tc>
          <w:tcPr>
            <w:tcW w:w="860" w:type="dxa"/>
            <w:tcBorders>
              <w:top w:val="single" w:sz="4" w:space="0" w:color="231F20"/>
            </w:tcBorders>
          </w:tcPr>
          <w:p>
            <w:pPr>
              <w:pStyle w:val="TableParagraph"/>
              <w:spacing w:line="240" w:lineRule="auto" w:before="9"/>
              <w:rPr>
                <w:rFonts w:ascii="Times New Roman"/>
                <w:sz w:val="11"/>
              </w:rPr>
            </w:pPr>
          </w:p>
          <w:p>
            <w:pPr>
              <w:pStyle w:val="TableParagraph"/>
              <w:spacing w:before="1"/>
              <w:ind w:left="114"/>
              <w:rPr>
                <w:sz w:val="11"/>
              </w:rPr>
            </w:pPr>
            <w:r>
              <w:rPr>
                <w:color w:val="ED2024"/>
                <w:w w:val="105"/>
                <w:sz w:val="11"/>
              </w:rPr>
              <w:t>Canada</w:t>
            </w:r>
          </w:p>
        </w:tc>
        <w:tc>
          <w:tcPr>
            <w:tcW w:w="1652" w:type="dxa"/>
            <w:tcBorders>
              <w:top w:val="single" w:sz="4" w:space="0" w:color="231F20"/>
            </w:tcBorders>
          </w:tcPr>
          <w:p>
            <w:pPr>
              <w:pStyle w:val="TableParagraph"/>
              <w:spacing w:line="240" w:lineRule="auto" w:before="9"/>
              <w:rPr>
                <w:rFonts w:ascii="Times New Roman"/>
                <w:sz w:val="11"/>
              </w:rPr>
            </w:pPr>
          </w:p>
          <w:p>
            <w:pPr>
              <w:pStyle w:val="TableParagraph"/>
              <w:spacing w:before="1"/>
              <w:ind w:left="105"/>
              <w:rPr>
                <w:sz w:val="11"/>
              </w:rPr>
            </w:pPr>
            <w:r>
              <w:rPr>
                <w:color w:val="ED2024"/>
                <w:w w:val="105"/>
                <w:sz w:val="11"/>
              </w:rPr>
              <w:t>N.Cordilleran</w:t>
            </w:r>
          </w:p>
        </w:tc>
        <w:tc>
          <w:tcPr>
            <w:tcW w:w="910"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77"/>
              <w:jc w:val="right"/>
              <w:rPr>
                <w:sz w:val="11"/>
              </w:rPr>
            </w:pPr>
            <w:r>
              <w:rPr>
                <w:color w:val="ED2024"/>
                <w:w w:val="105"/>
                <w:sz w:val="11"/>
              </w:rPr>
              <w:t>49.31</w:t>
            </w:r>
          </w:p>
        </w:tc>
        <w:tc>
          <w:tcPr>
            <w:tcW w:w="364" w:type="dxa"/>
            <w:tcBorders>
              <w:top w:val="single" w:sz="4" w:space="0" w:color="231F20"/>
            </w:tcBorders>
          </w:tcPr>
          <w:p>
            <w:pPr>
              <w:pStyle w:val="TableParagraph"/>
              <w:spacing w:line="240" w:lineRule="auto" w:before="9"/>
              <w:rPr>
                <w:rFonts w:ascii="Times New Roman"/>
                <w:sz w:val="11"/>
              </w:rPr>
            </w:pPr>
          </w:p>
          <w:p>
            <w:pPr>
              <w:pStyle w:val="TableParagraph"/>
              <w:spacing w:before="1"/>
              <w:ind w:right="17"/>
              <w:jc w:val="right"/>
              <w:rPr>
                <w:sz w:val="11"/>
              </w:rPr>
            </w:pPr>
            <w:r>
              <w:rPr>
                <w:color w:val="ED2024"/>
                <w:w w:val="105"/>
                <w:sz w:val="11"/>
              </w:rPr>
              <w:t>1.08</w:t>
            </w:r>
          </w:p>
        </w:tc>
        <w:tc>
          <w:tcPr>
            <w:tcW w:w="426" w:type="dxa"/>
            <w:tcBorders>
              <w:top w:val="single" w:sz="4" w:space="0" w:color="231F20"/>
            </w:tcBorders>
          </w:tcPr>
          <w:p>
            <w:pPr>
              <w:pStyle w:val="TableParagraph"/>
              <w:spacing w:line="240" w:lineRule="auto" w:before="9"/>
              <w:rPr>
                <w:rFonts w:ascii="Times New Roman"/>
                <w:sz w:val="11"/>
              </w:rPr>
            </w:pPr>
          </w:p>
          <w:p>
            <w:pPr>
              <w:pStyle w:val="TableParagraph"/>
              <w:spacing w:before="1"/>
              <w:ind w:right="59"/>
              <w:jc w:val="right"/>
              <w:rPr>
                <w:sz w:val="11"/>
              </w:rPr>
            </w:pPr>
            <w:r>
              <w:rPr>
                <w:color w:val="ED2024"/>
                <w:w w:val="105"/>
                <w:sz w:val="11"/>
              </w:rPr>
              <w:t>0.033</w:t>
            </w:r>
          </w:p>
        </w:tc>
        <w:tc>
          <w:tcPr>
            <w:tcW w:w="357" w:type="dxa"/>
            <w:tcBorders>
              <w:top w:val="single" w:sz="4" w:space="0" w:color="231F20"/>
            </w:tcBorders>
          </w:tcPr>
          <w:p>
            <w:pPr>
              <w:pStyle w:val="TableParagraph"/>
              <w:spacing w:line="240" w:lineRule="auto" w:before="9"/>
              <w:rPr>
                <w:rFonts w:ascii="Times New Roman"/>
                <w:sz w:val="11"/>
              </w:rPr>
            </w:pPr>
          </w:p>
          <w:p>
            <w:pPr>
              <w:pStyle w:val="TableParagraph"/>
              <w:spacing w:before="1"/>
              <w:ind w:right="60"/>
              <w:jc w:val="right"/>
              <w:rPr>
                <w:sz w:val="11"/>
              </w:rPr>
            </w:pPr>
            <w:r>
              <w:rPr>
                <w:color w:val="ED2024"/>
                <w:w w:val="105"/>
                <w:sz w:val="11"/>
              </w:rPr>
              <w:t>0.26</w:t>
            </w:r>
          </w:p>
        </w:tc>
        <w:tc>
          <w:tcPr>
            <w:tcW w:w="398" w:type="dxa"/>
            <w:tcBorders>
              <w:top w:val="single" w:sz="4" w:space="0" w:color="231F20"/>
            </w:tcBorders>
          </w:tcPr>
          <w:p>
            <w:pPr>
              <w:pStyle w:val="TableParagraph"/>
              <w:spacing w:line="240" w:lineRule="auto" w:before="9"/>
              <w:rPr>
                <w:rFonts w:ascii="Times New Roman"/>
                <w:sz w:val="11"/>
              </w:rPr>
            </w:pPr>
          </w:p>
          <w:p>
            <w:pPr>
              <w:pStyle w:val="TableParagraph"/>
              <w:spacing w:before="1"/>
              <w:ind w:right="37"/>
              <w:jc w:val="right"/>
              <w:rPr>
                <w:sz w:val="11"/>
              </w:rPr>
            </w:pPr>
            <w:r>
              <w:rPr>
                <w:color w:val="ED2024"/>
                <w:w w:val="105"/>
                <w:sz w:val="11"/>
              </w:rPr>
              <w:t>0.34</w:t>
            </w:r>
          </w:p>
        </w:tc>
        <w:tc>
          <w:tcPr>
            <w:tcW w:w="464" w:type="dxa"/>
            <w:tcBorders>
              <w:top w:val="single" w:sz="4" w:space="0" w:color="231F20"/>
            </w:tcBorders>
          </w:tcPr>
          <w:p>
            <w:pPr>
              <w:pStyle w:val="TableParagraph"/>
              <w:spacing w:line="240" w:lineRule="auto" w:before="9"/>
              <w:rPr>
                <w:rFonts w:ascii="Times New Roman"/>
                <w:sz w:val="11"/>
              </w:rPr>
            </w:pPr>
          </w:p>
          <w:p>
            <w:pPr>
              <w:pStyle w:val="TableParagraph"/>
              <w:spacing w:before="1"/>
              <w:ind w:left="143" w:right="54"/>
              <w:jc w:val="center"/>
              <w:rPr>
                <w:sz w:val="11"/>
              </w:rPr>
            </w:pPr>
            <w:r>
              <w:rPr>
                <w:color w:val="ED2024"/>
                <w:w w:val="105"/>
                <w:sz w:val="11"/>
              </w:rPr>
              <w:t>4.03</w:t>
            </w:r>
          </w:p>
        </w:tc>
        <w:tc>
          <w:tcPr>
            <w:tcW w:w="826" w:type="dxa"/>
            <w:tcBorders>
              <w:top w:val="single" w:sz="4" w:space="0" w:color="231F20"/>
            </w:tcBorders>
          </w:tcPr>
          <w:p>
            <w:pPr>
              <w:pStyle w:val="TableParagraph"/>
              <w:spacing w:line="240" w:lineRule="auto" w:before="9"/>
              <w:rPr>
                <w:rFonts w:ascii="Times New Roman"/>
                <w:sz w:val="11"/>
              </w:rPr>
            </w:pPr>
          </w:p>
          <w:p>
            <w:pPr>
              <w:pStyle w:val="TableParagraph"/>
              <w:spacing w:before="1"/>
              <w:ind w:left="45" w:right="10"/>
              <w:jc w:val="center"/>
              <w:rPr>
                <w:sz w:val="11"/>
              </w:rPr>
            </w:pPr>
            <w:r>
              <w:rPr>
                <w:color w:val="ED2024"/>
                <w:w w:val="105"/>
                <w:sz w:val="11"/>
              </w:rPr>
              <w:t>150</w:t>
            </w:r>
          </w:p>
        </w:tc>
      </w:tr>
      <w:tr>
        <w:trPr>
          <w:trHeight w:val="146" w:hRule="atLeast"/>
        </w:trPr>
        <w:tc>
          <w:tcPr>
            <w:tcW w:w="1537" w:type="dxa"/>
          </w:tcPr>
          <w:p>
            <w:pPr>
              <w:pStyle w:val="TableParagraph"/>
              <w:spacing w:line="115" w:lineRule="exact"/>
              <w:ind w:left="22"/>
              <w:rPr>
                <w:sz w:val="11"/>
              </w:rPr>
            </w:pPr>
            <w:r>
              <w:rPr>
                <w:color w:val="231F20"/>
                <w:w w:val="105"/>
                <w:sz w:val="11"/>
              </w:rPr>
              <w:t>Novo-Leninogorsk</w:t>
            </w:r>
          </w:p>
        </w:tc>
        <w:tc>
          <w:tcPr>
            <w:tcW w:w="860" w:type="dxa"/>
          </w:tcPr>
          <w:p>
            <w:pPr>
              <w:pStyle w:val="TableParagraph"/>
              <w:spacing w:line="115" w:lineRule="exact"/>
              <w:ind w:left="114"/>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48.00</w:t>
            </w:r>
          </w:p>
        </w:tc>
        <w:tc>
          <w:tcPr>
            <w:tcW w:w="364" w:type="dxa"/>
          </w:tcPr>
          <w:p>
            <w:pPr>
              <w:pStyle w:val="TableParagraph"/>
              <w:ind w:right="16"/>
              <w:jc w:val="right"/>
              <w:rPr>
                <w:sz w:val="11"/>
              </w:rPr>
            </w:pPr>
            <w:r>
              <w:rPr>
                <w:color w:val="231F20"/>
                <w:w w:val="105"/>
                <w:sz w:val="11"/>
              </w:rPr>
              <w:t>0.16</w:t>
            </w:r>
          </w:p>
        </w:tc>
        <w:tc>
          <w:tcPr>
            <w:tcW w:w="426" w:type="dxa"/>
          </w:tcPr>
          <w:p>
            <w:pPr>
              <w:pStyle w:val="TableParagraph"/>
              <w:ind w:right="59"/>
              <w:jc w:val="right"/>
              <w:rPr>
                <w:sz w:val="11"/>
              </w:rPr>
            </w:pPr>
            <w:r>
              <w:rPr>
                <w:color w:val="231F20"/>
                <w:w w:val="105"/>
                <w:sz w:val="11"/>
              </w:rPr>
              <w:t>1.43</w:t>
            </w:r>
          </w:p>
        </w:tc>
        <w:tc>
          <w:tcPr>
            <w:tcW w:w="357" w:type="dxa"/>
          </w:tcPr>
          <w:p>
            <w:pPr>
              <w:pStyle w:val="TableParagraph"/>
              <w:ind w:right="60"/>
              <w:jc w:val="right"/>
              <w:rPr>
                <w:sz w:val="11"/>
              </w:rPr>
            </w:pPr>
            <w:r>
              <w:rPr>
                <w:color w:val="231F20"/>
                <w:w w:val="105"/>
                <w:sz w:val="11"/>
              </w:rPr>
              <w:t>4.04</w:t>
            </w:r>
          </w:p>
        </w:tc>
        <w:tc>
          <w:tcPr>
            <w:tcW w:w="398" w:type="dxa"/>
          </w:tcPr>
          <w:p>
            <w:pPr>
              <w:pStyle w:val="TableParagraph"/>
              <w:ind w:right="37"/>
              <w:jc w:val="right"/>
              <w:rPr>
                <w:sz w:val="11"/>
              </w:rPr>
            </w:pPr>
            <w:r>
              <w:rPr>
                <w:color w:val="231F20"/>
                <w:w w:val="105"/>
                <w:sz w:val="11"/>
              </w:rPr>
              <w:t>1.54</w:t>
            </w:r>
          </w:p>
        </w:tc>
        <w:tc>
          <w:tcPr>
            <w:tcW w:w="464" w:type="dxa"/>
          </w:tcPr>
          <w:p>
            <w:pPr>
              <w:pStyle w:val="TableParagraph"/>
              <w:ind w:left="77" w:right="54"/>
              <w:jc w:val="center"/>
              <w:rPr>
                <w:sz w:val="11"/>
              </w:rPr>
            </w:pPr>
            <w:r>
              <w:rPr>
                <w:color w:val="231F20"/>
                <w:w w:val="105"/>
                <w:sz w:val="11"/>
              </w:rPr>
              <w:t>32.80</w:t>
            </w:r>
          </w:p>
        </w:tc>
        <w:tc>
          <w:tcPr>
            <w:tcW w:w="826" w:type="dxa"/>
          </w:tcPr>
          <w:p>
            <w:pPr>
              <w:pStyle w:val="TableParagraph"/>
              <w:ind w:left="45" w:right="10"/>
              <w:jc w:val="center"/>
              <w:rPr>
                <w:sz w:val="11"/>
              </w:rPr>
            </w:pPr>
            <w:r>
              <w:rPr>
                <w:color w:val="231F20"/>
                <w:w w:val="105"/>
                <w:sz w:val="11"/>
              </w:rPr>
              <w:t>395</w:t>
            </w:r>
          </w:p>
        </w:tc>
      </w:tr>
      <w:tr>
        <w:trPr>
          <w:trHeight w:val="146" w:hRule="atLeast"/>
        </w:trPr>
        <w:tc>
          <w:tcPr>
            <w:tcW w:w="1537" w:type="dxa"/>
          </w:tcPr>
          <w:p>
            <w:pPr>
              <w:pStyle w:val="TableParagraph"/>
              <w:ind w:left="22"/>
              <w:rPr>
                <w:sz w:val="11"/>
              </w:rPr>
            </w:pPr>
            <w:r>
              <w:rPr>
                <w:color w:val="231F20"/>
                <w:w w:val="105"/>
                <w:sz w:val="11"/>
              </w:rPr>
              <w:t>Preiska</w:t>
            </w:r>
          </w:p>
        </w:tc>
        <w:tc>
          <w:tcPr>
            <w:tcW w:w="860" w:type="dxa"/>
          </w:tcPr>
          <w:p>
            <w:pPr>
              <w:pStyle w:val="TableParagraph"/>
              <w:ind w:left="114"/>
              <w:rPr>
                <w:sz w:val="11"/>
              </w:rPr>
            </w:pPr>
            <w:r>
              <w:rPr>
                <w:color w:val="231F20"/>
                <w:w w:val="105"/>
                <w:sz w:val="11"/>
              </w:rPr>
              <w:t>South Africa</w:t>
            </w:r>
          </w:p>
        </w:tc>
        <w:tc>
          <w:tcPr>
            <w:tcW w:w="1652" w:type="dxa"/>
          </w:tcPr>
          <w:p>
            <w:pPr>
              <w:pStyle w:val="TableParagraph"/>
              <w:ind w:left="105"/>
              <w:rPr>
                <w:sz w:val="11"/>
              </w:rPr>
            </w:pPr>
            <w:r>
              <w:rPr>
                <w:color w:val="231F20"/>
                <w:w w:val="105"/>
                <w:sz w:val="11"/>
              </w:rPr>
              <w:t>Namaqua</w:t>
            </w:r>
          </w:p>
        </w:tc>
        <w:tc>
          <w:tcPr>
            <w:tcW w:w="910" w:type="dxa"/>
          </w:tcPr>
          <w:p>
            <w:pPr>
              <w:pStyle w:val="TableParagraph"/>
              <w:ind w:right="177"/>
              <w:jc w:val="right"/>
              <w:rPr>
                <w:sz w:val="11"/>
              </w:rPr>
            </w:pPr>
            <w:r>
              <w:rPr>
                <w:color w:val="231F20"/>
                <w:w w:val="105"/>
                <w:sz w:val="11"/>
              </w:rPr>
              <w:t>47.00</w:t>
            </w:r>
          </w:p>
        </w:tc>
        <w:tc>
          <w:tcPr>
            <w:tcW w:w="364" w:type="dxa"/>
          </w:tcPr>
          <w:p>
            <w:pPr>
              <w:pStyle w:val="TableParagraph"/>
              <w:ind w:right="16"/>
              <w:jc w:val="right"/>
              <w:rPr>
                <w:sz w:val="11"/>
              </w:rPr>
            </w:pPr>
            <w:r>
              <w:rPr>
                <w:color w:val="231F20"/>
                <w:w w:val="105"/>
                <w:sz w:val="11"/>
              </w:rPr>
              <w:t>1.7</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3.8</w:t>
            </w:r>
          </w:p>
        </w:tc>
        <w:tc>
          <w:tcPr>
            <w:tcW w:w="398" w:type="dxa"/>
          </w:tcPr>
          <w:p>
            <w:pPr>
              <w:pStyle w:val="TableParagraph"/>
              <w:ind w:right="37"/>
              <w:jc w:val="right"/>
              <w:rPr>
                <w:sz w:val="11"/>
              </w:rPr>
            </w:pPr>
            <w:r>
              <w:rPr>
                <w:color w:val="231F20"/>
                <w:w w:val="105"/>
                <w:sz w:val="11"/>
              </w:rPr>
              <w:t>0.00</w:t>
            </w:r>
          </w:p>
        </w:tc>
        <w:tc>
          <w:tcPr>
            <w:tcW w:w="464" w:type="dxa"/>
          </w:tcPr>
          <w:p>
            <w:pPr>
              <w:pStyle w:val="TableParagraph"/>
              <w:spacing w:line="240" w:lineRule="auto" w:before="0"/>
              <w:rPr>
                <w:rFonts w:ascii="Times New Roman"/>
                <w:sz w:val="8"/>
              </w:rPr>
            </w:pPr>
          </w:p>
        </w:tc>
        <w:tc>
          <w:tcPr>
            <w:tcW w:w="826" w:type="dxa"/>
          </w:tcPr>
          <w:p>
            <w:pPr>
              <w:pStyle w:val="TableParagraph"/>
              <w:ind w:left="46" w:right="10"/>
              <w:jc w:val="center"/>
              <w:rPr>
                <w:sz w:val="11"/>
              </w:rPr>
            </w:pPr>
            <w:r>
              <w:rPr>
                <w:color w:val="231F20"/>
                <w:w w:val="105"/>
                <w:sz w:val="11"/>
              </w:rPr>
              <w:t>1300</w:t>
            </w:r>
          </w:p>
        </w:tc>
      </w:tr>
      <w:tr>
        <w:trPr>
          <w:trHeight w:val="146" w:hRule="atLeast"/>
        </w:trPr>
        <w:tc>
          <w:tcPr>
            <w:tcW w:w="1537" w:type="dxa"/>
          </w:tcPr>
          <w:p>
            <w:pPr>
              <w:pStyle w:val="TableParagraph"/>
              <w:ind w:left="22"/>
              <w:rPr>
                <w:sz w:val="11"/>
              </w:rPr>
            </w:pPr>
            <w:r>
              <w:rPr>
                <w:color w:val="ED2024"/>
                <w:w w:val="105"/>
                <w:sz w:val="11"/>
              </w:rPr>
              <w:t>Anyox-Hidden Creek</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N.Cordilleran</w:t>
            </w:r>
          </w:p>
        </w:tc>
        <w:tc>
          <w:tcPr>
            <w:tcW w:w="910" w:type="dxa"/>
          </w:tcPr>
          <w:p>
            <w:pPr>
              <w:pStyle w:val="TableParagraph"/>
              <w:ind w:right="177"/>
              <w:jc w:val="right"/>
              <w:rPr>
                <w:sz w:val="11"/>
              </w:rPr>
            </w:pPr>
            <w:r>
              <w:rPr>
                <w:color w:val="ED2024"/>
                <w:w w:val="105"/>
                <w:sz w:val="11"/>
              </w:rPr>
              <w:t>45.95</w:t>
            </w:r>
          </w:p>
        </w:tc>
        <w:tc>
          <w:tcPr>
            <w:tcW w:w="364" w:type="dxa"/>
          </w:tcPr>
          <w:p>
            <w:pPr>
              <w:pStyle w:val="TableParagraph"/>
              <w:ind w:right="17"/>
              <w:jc w:val="right"/>
              <w:rPr>
                <w:sz w:val="11"/>
              </w:rPr>
            </w:pPr>
            <w:r>
              <w:rPr>
                <w:color w:val="ED2024"/>
                <w:w w:val="105"/>
                <w:sz w:val="11"/>
              </w:rPr>
              <w:t>1.37</w:t>
            </w:r>
          </w:p>
        </w:tc>
        <w:tc>
          <w:tcPr>
            <w:tcW w:w="426" w:type="dxa"/>
          </w:tcPr>
          <w:p>
            <w:pPr>
              <w:pStyle w:val="TableParagraph"/>
              <w:spacing w:line="240" w:lineRule="auto" w:before="0"/>
              <w:rPr>
                <w:rFonts w:ascii="Times New Roman"/>
                <w:sz w:val="8"/>
              </w:rPr>
            </w:pPr>
          </w:p>
        </w:tc>
        <w:tc>
          <w:tcPr>
            <w:tcW w:w="357" w:type="dxa"/>
          </w:tcPr>
          <w:p>
            <w:pPr>
              <w:pStyle w:val="TableParagraph"/>
              <w:spacing w:line="240" w:lineRule="auto" w:before="0"/>
              <w:rPr>
                <w:rFonts w:ascii="Times New Roman"/>
                <w:sz w:val="8"/>
              </w:rPr>
            </w:pPr>
          </w:p>
        </w:tc>
        <w:tc>
          <w:tcPr>
            <w:tcW w:w="398" w:type="dxa"/>
          </w:tcPr>
          <w:p>
            <w:pPr>
              <w:pStyle w:val="TableParagraph"/>
              <w:ind w:right="37"/>
              <w:jc w:val="right"/>
              <w:rPr>
                <w:sz w:val="11"/>
              </w:rPr>
            </w:pPr>
            <w:r>
              <w:rPr>
                <w:color w:val="ED2024"/>
                <w:w w:val="105"/>
                <w:sz w:val="11"/>
              </w:rPr>
              <w:t>0.17</w:t>
            </w:r>
          </w:p>
        </w:tc>
        <w:tc>
          <w:tcPr>
            <w:tcW w:w="464" w:type="dxa"/>
          </w:tcPr>
          <w:p>
            <w:pPr>
              <w:pStyle w:val="TableParagraph"/>
              <w:ind w:left="143" w:right="54"/>
              <w:jc w:val="center"/>
              <w:rPr>
                <w:sz w:val="11"/>
              </w:rPr>
            </w:pPr>
            <w:r>
              <w:rPr>
                <w:color w:val="ED2024"/>
                <w:w w:val="105"/>
                <w:sz w:val="11"/>
              </w:rPr>
              <w:t>9.92</w:t>
            </w:r>
          </w:p>
        </w:tc>
        <w:tc>
          <w:tcPr>
            <w:tcW w:w="826" w:type="dxa"/>
          </w:tcPr>
          <w:p>
            <w:pPr>
              <w:pStyle w:val="TableParagraph"/>
              <w:ind w:left="45" w:right="10"/>
              <w:jc w:val="center"/>
              <w:rPr>
                <w:sz w:val="11"/>
              </w:rPr>
            </w:pPr>
            <w:r>
              <w:rPr>
                <w:color w:val="ED2024"/>
                <w:w w:val="105"/>
                <w:sz w:val="11"/>
              </w:rPr>
              <w:t>195</w:t>
            </w:r>
          </w:p>
        </w:tc>
      </w:tr>
      <w:tr>
        <w:trPr>
          <w:trHeight w:val="146" w:hRule="atLeast"/>
        </w:trPr>
        <w:tc>
          <w:tcPr>
            <w:tcW w:w="1537" w:type="dxa"/>
          </w:tcPr>
          <w:p>
            <w:pPr>
              <w:pStyle w:val="TableParagraph"/>
              <w:ind w:left="22"/>
              <w:rPr>
                <w:sz w:val="11"/>
              </w:rPr>
            </w:pPr>
            <w:r>
              <w:rPr>
                <w:color w:val="231F20"/>
                <w:w w:val="105"/>
                <w:sz w:val="11"/>
              </w:rPr>
              <w:t>Hanaoka Mine (total)</w:t>
            </w:r>
          </w:p>
        </w:tc>
        <w:tc>
          <w:tcPr>
            <w:tcW w:w="860" w:type="dxa"/>
          </w:tcPr>
          <w:p>
            <w:pPr>
              <w:pStyle w:val="TableParagraph"/>
              <w:ind w:left="114"/>
              <w:rPr>
                <w:sz w:val="11"/>
              </w:rPr>
            </w:pPr>
            <w:r>
              <w:rPr>
                <w:color w:val="231F20"/>
                <w:w w:val="105"/>
                <w:sz w:val="11"/>
              </w:rPr>
              <w:t>Japan</w:t>
            </w:r>
          </w:p>
        </w:tc>
        <w:tc>
          <w:tcPr>
            <w:tcW w:w="1652" w:type="dxa"/>
          </w:tcPr>
          <w:p>
            <w:pPr>
              <w:pStyle w:val="TableParagraph"/>
              <w:ind w:left="105"/>
              <w:rPr>
                <w:sz w:val="11"/>
              </w:rPr>
            </w:pPr>
            <w:r>
              <w:rPr>
                <w:color w:val="231F20"/>
                <w:w w:val="105"/>
                <w:sz w:val="11"/>
              </w:rPr>
              <w:t>Japan arcs(Tethyan)</w:t>
            </w:r>
          </w:p>
        </w:tc>
        <w:tc>
          <w:tcPr>
            <w:tcW w:w="910" w:type="dxa"/>
          </w:tcPr>
          <w:p>
            <w:pPr>
              <w:pStyle w:val="TableParagraph"/>
              <w:ind w:right="177"/>
              <w:jc w:val="right"/>
              <w:rPr>
                <w:sz w:val="11"/>
              </w:rPr>
            </w:pPr>
            <w:r>
              <w:rPr>
                <w:color w:val="231F20"/>
                <w:w w:val="105"/>
                <w:sz w:val="11"/>
              </w:rPr>
              <w:t>43.50</w:t>
            </w:r>
          </w:p>
        </w:tc>
        <w:tc>
          <w:tcPr>
            <w:tcW w:w="364" w:type="dxa"/>
          </w:tcPr>
          <w:p>
            <w:pPr>
              <w:pStyle w:val="TableParagraph"/>
              <w:ind w:right="16"/>
              <w:jc w:val="right"/>
              <w:rPr>
                <w:sz w:val="11"/>
              </w:rPr>
            </w:pPr>
            <w:r>
              <w:rPr>
                <w:color w:val="231F20"/>
                <w:w w:val="105"/>
                <w:sz w:val="11"/>
              </w:rPr>
              <w:t>1.2</w:t>
            </w:r>
          </w:p>
        </w:tc>
        <w:tc>
          <w:tcPr>
            <w:tcW w:w="426" w:type="dxa"/>
          </w:tcPr>
          <w:p>
            <w:pPr>
              <w:pStyle w:val="TableParagraph"/>
              <w:ind w:right="59"/>
              <w:jc w:val="right"/>
              <w:rPr>
                <w:sz w:val="11"/>
              </w:rPr>
            </w:pPr>
            <w:r>
              <w:rPr>
                <w:color w:val="231F20"/>
                <w:w w:val="105"/>
                <w:sz w:val="11"/>
              </w:rPr>
              <w:t>1.5</w:t>
            </w:r>
          </w:p>
        </w:tc>
        <w:tc>
          <w:tcPr>
            <w:tcW w:w="357" w:type="dxa"/>
          </w:tcPr>
          <w:p>
            <w:pPr>
              <w:pStyle w:val="TableParagraph"/>
              <w:ind w:right="60"/>
              <w:jc w:val="right"/>
              <w:rPr>
                <w:sz w:val="11"/>
              </w:rPr>
            </w:pPr>
            <w:r>
              <w:rPr>
                <w:color w:val="231F20"/>
                <w:w w:val="105"/>
                <w:sz w:val="11"/>
              </w:rPr>
              <w:t>4.7</w:t>
            </w:r>
          </w:p>
        </w:tc>
        <w:tc>
          <w:tcPr>
            <w:tcW w:w="398" w:type="dxa"/>
          </w:tcPr>
          <w:p>
            <w:pPr>
              <w:pStyle w:val="TableParagraph"/>
              <w:ind w:right="37"/>
              <w:jc w:val="right"/>
              <w:rPr>
                <w:sz w:val="11"/>
              </w:rPr>
            </w:pPr>
            <w:r>
              <w:rPr>
                <w:color w:val="231F20"/>
                <w:w w:val="105"/>
                <w:sz w:val="11"/>
              </w:rPr>
              <w:t>0.40</w:t>
            </w:r>
          </w:p>
        </w:tc>
        <w:tc>
          <w:tcPr>
            <w:tcW w:w="464" w:type="dxa"/>
          </w:tcPr>
          <w:p>
            <w:pPr>
              <w:pStyle w:val="TableParagraph"/>
              <w:ind w:left="77" w:right="54"/>
              <w:jc w:val="center"/>
              <w:rPr>
                <w:sz w:val="11"/>
              </w:rPr>
            </w:pPr>
            <w:r>
              <w:rPr>
                <w:color w:val="231F20"/>
                <w:w w:val="105"/>
                <w:sz w:val="11"/>
              </w:rPr>
              <w:t>68.00</w:t>
            </w:r>
          </w:p>
        </w:tc>
        <w:tc>
          <w:tcPr>
            <w:tcW w:w="826" w:type="dxa"/>
          </w:tcPr>
          <w:p>
            <w:pPr>
              <w:pStyle w:val="TableParagraph"/>
              <w:ind w:left="45" w:right="10"/>
              <w:jc w:val="center"/>
              <w:rPr>
                <w:sz w:val="11"/>
              </w:rPr>
            </w:pPr>
            <w:r>
              <w:rPr>
                <w:color w:val="231F20"/>
                <w:w w:val="105"/>
                <w:sz w:val="11"/>
              </w:rPr>
              <w:t>15</w:t>
            </w:r>
          </w:p>
        </w:tc>
      </w:tr>
      <w:tr>
        <w:trPr>
          <w:trHeight w:val="146" w:hRule="atLeast"/>
        </w:trPr>
        <w:tc>
          <w:tcPr>
            <w:tcW w:w="1537" w:type="dxa"/>
          </w:tcPr>
          <w:p>
            <w:pPr>
              <w:pStyle w:val="TableParagraph"/>
              <w:ind w:left="22"/>
              <w:rPr>
                <w:sz w:val="11"/>
              </w:rPr>
            </w:pPr>
            <w:r>
              <w:rPr>
                <w:color w:val="231F20"/>
                <w:w w:val="105"/>
                <w:sz w:val="11"/>
              </w:rPr>
              <w:t>Aguas Tenidas</w:t>
            </w:r>
          </w:p>
        </w:tc>
        <w:tc>
          <w:tcPr>
            <w:tcW w:w="860" w:type="dxa"/>
          </w:tcPr>
          <w:p>
            <w:pPr>
              <w:pStyle w:val="TableParagraph"/>
              <w:ind w:left="114"/>
              <w:rPr>
                <w:sz w:val="11"/>
              </w:rPr>
            </w:pPr>
            <w:r>
              <w:rPr>
                <w:color w:val="231F20"/>
                <w:w w:val="105"/>
                <w:sz w:val="11"/>
              </w:rPr>
              <w:t>Spain</w:t>
            </w:r>
          </w:p>
        </w:tc>
        <w:tc>
          <w:tcPr>
            <w:tcW w:w="1652" w:type="dxa"/>
          </w:tcPr>
          <w:p>
            <w:pPr>
              <w:pStyle w:val="TableParagraph"/>
              <w:ind w:left="105"/>
              <w:rPr>
                <w:sz w:val="11"/>
              </w:rPr>
            </w:pPr>
            <w:r>
              <w:rPr>
                <w:color w:val="231F20"/>
                <w:w w:val="105"/>
                <w:sz w:val="11"/>
              </w:rPr>
              <w:t>Hercynian</w:t>
            </w:r>
          </w:p>
        </w:tc>
        <w:tc>
          <w:tcPr>
            <w:tcW w:w="910" w:type="dxa"/>
          </w:tcPr>
          <w:p>
            <w:pPr>
              <w:pStyle w:val="TableParagraph"/>
              <w:ind w:right="177"/>
              <w:jc w:val="right"/>
              <w:rPr>
                <w:sz w:val="11"/>
              </w:rPr>
            </w:pPr>
            <w:r>
              <w:rPr>
                <w:color w:val="231F20"/>
                <w:w w:val="105"/>
                <w:sz w:val="11"/>
              </w:rPr>
              <w:t>41.00</w:t>
            </w:r>
          </w:p>
        </w:tc>
        <w:tc>
          <w:tcPr>
            <w:tcW w:w="364" w:type="dxa"/>
          </w:tcPr>
          <w:p>
            <w:pPr>
              <w:pStyle w:val="TableParagraph"/>
              <w:ind w:right="16"/>
              <w:jc w:val="right"/>
              <w:rPr>
                <w:sz w:val="11"/>
              </w:rPr>
            </w:pPr>
            <w:r>
              <w:rPr>
                <w:color w:val="231F20"/>
                <w:w w:val="105"/>
                <w:sz w:val="11"/>
              </w:rPr>
              <w:t>1.3</w:t>
            </w:r>
          </w:p>
        </w:tc>
        <w:tc>
          <w:tcPr>
            <w:tcW w:w="426" w:type="dxa"/>
          </w:tcPr>
          <w:p>
            <w:pPr>
              <w:pStyle w:val="TableParagraph"/>
              <w:ind w:right="59"/>
              <w:jc w:val="right"/>
              <w:rPr>
                <w:sz w:val="11"/>
              </w:rPr>
            </w:pPr>
            <w:r>
              <w:rPr>
                <w:color w:val="231F20"/>
                <w:w w:val="105"/>
                <w:sz w:val="11"/>
              </w:rPr>
              <w:t>0.91</w:t>
            </w:r>
          </w:p>
        </w:tc>
        <w:tc>
          <w:tcPr>
            <w:tcW w:w="357" w:type="dxa"/>
          </w:tcPr>
          <w:p>
            <w:pPr>
              <w:pStyle w:val="TableParagraph"/>
              <w:ind w:right="60"/>
              <w:jc w:val="right"/>
              <w:rPr>
                <w:sz w:val="11"/>
              </w:rPr>
            </w:pPr>
            <w:r>
              <w:rPr>
                <w:color w:val="231F20"/>
                <w:w w:val="105"/>
                <w:sz w:val="11"/>
              </w:rPr>
              <w:t>3.1</w:t>
            </w:r>
          </w:p>
        </w:tc>
        <w:tc>
          <w:tcPr>
            <w:tcW w:w="398" w:type="dxa"/>
          </w:tcPr>
          <w:p>
            <w:pPr>
              <w:pStyle w:val="TableParagraph"/>
              <w:ind w:right="37"/>
              <w:jc w:val="right"/>
              <w:rPr>
                <w:sz w:val="11"/>
              </w:rPr>
            </w:pPr>
            <w:r>
              <w:rPr>
                <w:color w:val="231F20"/>
                <w:w w:val="105"/>
                <w:sz w:val="11"/>
              </w:rPr>
              <w:t>0.50</w:t>
            </w:r>
          </w:p>
        </w:tc>
        <w:tc>
          <w:tcPr>
            <w:tcW w:w="464" w:type="dxa"/>
          </w:tcPr>
          <w:p>
            <w:pPr>
              <w:pStyle w:val="TableParagraph"/>
              <w:ind w:left="77" w:right="54"/>
              <w:jc w:val="center"/>
              <w:rPr>
                <w:sz w:val="11"/>
              </w:rPr>
            </w:pPr>
            <w:r>
              <w:rPr>
                <w:color w:val="231F20"/>
                <w:w w:val="105"/>
                <w:sz w:val="11"/>
              </w:rPr>
              <w:t>37.00</w:t>
            </w:r>
          </w:p>
        </w:tc>
        <w:tc>
          <w:tcPr>
            <w:tcW w:w="826" w:type="dxa"/>
          </w:tcPr>
          <w:p>
            <w:pPr>
              <w:pStyle w:val="TableParagraph"/>
              <w:ind w:left="45" w:right="10"/>
              <w:jc w:val="center"/>
              <w:rPr>
                <w:sz w:val="11"/>
              </w:rPr>
            </w:pPr>
            <w:r>
              <w:rPr>
                <w:color w:val="231F20"/>
                <w:w w:val="105"/>
                <w:sz w:val="11"/>
              </w:rPr>
              <w:t>320</w:t>
            </w:r>
          </w:p>
        </w:tc>
      </w:tr>
      <w:tr>
        <w:trPr>
          <w:trHeight w:val="146" w:hRule="atLeast"/>
        </w:trPr>
        <w:tc>
          <w:tcPr>
            <w:tcW w:w="1537" w:type="dxa"/>
          </w:tcPr>
          <w:p>
            <w:pPr>
              <w:pStyle w:val="TableParagraph"/>
              <w:ind w:left="22"/>
              <w:rPr>
                <w:sz w:val="11"/>
              </w:rPr>
            </w:pPr>
            <w:r>
              <w:rPr>
                <w:color w:val="231F20"/>
                <w:w w:val="105"/>
                <w:sz w:val="11"/>
              </w:rPr>
              <w:t>Hongtoushan</w:t>
            </w:r>
          </w:p>
        </w:tc>
        <w:tc>
          <w:tcPr>
            <w:tcW w:w="860" w:type="dxa"/>
          </w:tcPr>
          <w:p>
            <w:pPr>
              <w:pStyle w:val="TableParagraph"/>
              <w:ind w:left="114"/>
              <w:rPr>
                <w:sz w:val="11"/>
              </w:rPr>
            </w:pPr>
            <w:r>
              <w:rPr>
                <w:color w:val="231F20"/>
                <w:w w:val="105"/>
                <w:sz w:val="11"/>
              </w:rPr>
              <w:t>China</w:t>
            </w:r>
          </w:p>
        </w:tc>
        <w:tc>
          <w:tcPr>
            <w:tcW w:w="1652" w:type="dxa"/>
          </w:tcPr>
          <w:p>
            <w:pPr>
              <w:pStyle w:val="TableParagraph"/>
              <w:ind w:left="105"/>
              <w:rPr>
                <w:sz w:val="11"/>
              </w:rPr>
            </w:pPr>
            <w:r>
              <w:rPr>
                <w:color w:val="231F20"/>
                <w:w w:val="105"/>
                <w:sz w:val="11"/>
              </w:rPr>
              <w:t>Sino-Korean Platform</w:t>
            </w:r>
          </w:p>
        </w:tc>
        <w:tc>
          <w:tcPr>
            <w:tcW w:w="910" w:type="dxa"/>
          </w:tcPr>
          <w:p>
            <w:pPr>
              <w:pStyle w:val="TableParagraph"/>
              <w:ind w:right="177"/>
              <w:jc w:val="right"/>
              <w:rPr>
                <w:sz w:val="11"/>
              </w:rPr>
            </w:pPr>
            <w:r>
              <w:rPr>
                <w:color w:val="231F20"/>
                <w:w w:val="105"/>
                <w:sz w:val="11"/>
              </w:rPr>
              <w:t>40.00</w:t>
            </w:r>
          </w:p>
        </w:tc>
        <w:tc>
          <w:tcPr>
            <w:tcW w:w="364" w:type="dxa"/>
          </w:tcPr>
          <w:p>
            <w:pPr>
              <w:pStyle w:val="TableParagraph"/>
              <w:ind w:right="16"/>
              <w:jc w:val="right"/>
              <w:rPr>
                <w:sz w:val="11"/>
              </w:rPr>
            </w:pPr>
            <w:r>
              <w:rPr>
                <w:color w:val="231F20"/>
                <w:w w:val="105"/>
                <w:sz w:val="11"/>
              </w:rPr>
              <w:t>1.75</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2.4</w:t>
            </w:r>
          </w:p>
        </w:tc>
        <w:tc>
          <w:tcPr>
            <w:tcW w:w="398" w:type="dxa"/>
          </w:tcPr>
          <w:p>
            <w:pPr>
              <w:pStyle w:val="TableParagraph"/>
              <w:ind w:right="37"/>
              <w:jc w:val="right"/>
              <w:rPr>
                <w:sz w:val="11"/>
              </w:rPr>
            </w:pPr>
            <w:r>
              <w:rPr>
                <w:color w:val="231F20"/>
                <w:w w:val="105"/>
                <w:sz w:val="11"/>
              </w:rPr>
              <w:t>0.77</w:t>
            </w:r>
          </w:p>
        </w:tc>
        <w:tc>
          <w:tcPr>
            <w:tcW w:w="464" w:type="dxa"/>
          </w:tcPr>
          <w:p>
            <w:pPr>
              <w:pStyle w:val="TableParagraph"/>
              <w:ind w:left="77" w:right="54"/>
              <w:jc w:val="center"/>
              <w:rPr>
                <w:sz w:val="11"/>
              </w:rPr>
            </w:pPr>
            <w:r>
              <w:rPr>
                <w:color w:val="231F20"/>
                <w:w w:val="105"/>
                <w:sz w:val="11"/>
              </w:rPr>
              <w:t>32.40</w:t>
            </w:r>
          </w:p>
        </w:tc>
        <w:tc>
          <w:tcPr>
            <w:tcW w:w="826" w:type="dxa"/>
          </w:tcPr>
          <w:p>
            <w:pPr>
              <w:pStyle w:val="TableParagraph"/>
              <w:ind w:left="45" w:right="10"/>
              <w:jc w:val="center"/>
              <w:rPr>
                <w:sz w:val="11"/>
              </w:rPr>
            </w:pPr>
            <w:r>
              <w:rPr>
                <w:color w:val="231F20"/>
                <w:w w:val="105"/>
                <w:sz w:val="11"/>
              </w:rPr>
              <w:t>3000</w:t>
            </w:r>
          </w:p>
        </w:tc>
      </w:tr>
      <w:tr>
        <w:trPr>
          <w:trHeight w:val="146" w:hRule="atLeast"/>
        </w:trPr>
        <w:tc>
          <w:tcPr>
            <w:tcW w:w="1537" w:type="dxa"/>
          </w:tcPr>
          <w:p>
            <w:pPr>
              <w:pStyle w:val="TableParagraph"/>
              <w:ind w:left="22"/>
              <w:rPr>
                <w:sz w:val="11"/>
              </w:rPr>
            </w:pPr>
            <w:r>
              <w:rPr>
                <w:color w:val="231F20"/>
                <w:w w:val="105"/>
                <w:sz w:val="11"/>
              </w:rPr>
              <w:t>Maleev</w:t>
            </w:r>
          </w:p>
        </w:tc>
        <w:tc>
          <w:tcPr>
            <w:tcW w:w="860" w:type="dxa"/>
          </w:tcPr>
          <w:p>
            <w:pPr>
              <w:pStyle w:val="TableParagraph"/>
              <w:ind w:left="114"/>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40.00</w:t>
            </w:r>
          </w:p>
        </w:tc>
        <w:tc>
          <w:tcPr>
            <w:tcW w:w="364" w:type="dxa"/>
          </w:tcPr>
          <w:p>
            <w:pPr>
              <w:pStyle w:val="TableParagraph"/>
              <w:ind w:right="16"/>
              <w:jc w:val="right"/>
              <w:rPr>
                <w:sz w:val="11"/>
              </w:rPr>
            </w:pPr>
            <w:r>
              <w:rPr>
                <w:color w:val="231F20"/>
                <w:w w:val="105"/>
                <w:sz w:val="11"/>
              </w:rPr>
              <w:t>2.3</w:t>
            </w:r>
          </w:p>
        </w:tc>
        <w:tc>
          <w:tcPr>
            <w:tcW w:w="426" w:type="dxa"/>
          </w:tcPr>
          <w:p>
            <w:pPr>
              <w:pStyle w:val="TableParagraph"/>
              <w:ind w:right="59"/>
              <w:jc w:val="right"/>
              <w:rPr>
                <w:sz w:val="11"/>
              </w:rPr>
            </w:pPr>
            <w:r>
              <w:rPr>
                <w:color w:val="231F20"/>
                <w:w w:val="105"/>
                <w:sz w:val="11"/>
              </w:rPr>
              <w:t>1.3</w:t>
            </w:r>
          </w:p>
        </w:tc>
        <w:tc>
          <w:tcPr>
            <w:tcW w:w="357" w:type="dxa"/>
          </w:tcPr>
          <w:p>
            <w:pPr>
              <w:pStyle w:val="TableParagraph"/>
              <w:ind w:right="60"/>
              <w:jc w:val="right"/>
              <w:rPr>
                <w:sz w:val="11"/>
              </w:rPr>
            </w:pPr>
            <w:r>
              <w:rPr>
                <w:color w:val="231F20"/>
                <w:w w:val="105"/>
                <w:sz w:val="11"/>
              </w:rPr>
              <w:t>7.5</w:t>
            </w:r>
          </w:p>
        </w:tc>
        <w:tc>
          <w:tcPr>
            <w:tcW w:w="398" w:type="dxa"/>
          </w:tcPr>
          <w:p>
            <w:pPr>
              <w:pStyle w:val="TableParagraph"/>
              <w:ind w:right="37"/>
              <w:jc w:val="right"/>
              <w:rPr>
                <w:sz w:val="11"/>
              </w:rPr>
            </w:pPr>
            <w:r>
              <w:rPr>
                <w:color w:val="231F20"/>
                <w:w w:val="105"/>
                <w:sz w:val="11"/>
              </w:rPr>
              <w:t>0.75</w:t>
            </w:r>
          </w:p>
        </w:tc>
        <w:tc>
          <w:tcPr>
            <w:tcW w:w="464" w:type="dxa"/>
          </w:tcPr>
          <w:p>
            <w:pPr>
              <w:pStyle w:val="TableParagraph"/>
              <w:ind w:left="77" w:right="54"/>
              <w:jc w:val="center"/>
              <w:rPr>
                <w:sz w:val="11"/>
              </w:rPr>
            </w:pPr>
            <w:r>
              <w:rPr>
                <w:color w:val="231F20"/>
                <w:w w:val="105"/>
                <w:sz w:val="11"/>
              </w:rPr>
              <w:t>75.00</w:t>
            </w:r>
          </w:p>
        </w:tc>
        <w:tc>
          <w:tcPr>
            <w:tcW w:w="826" w:type="dxa"/>
          </w:tcPr>
          <w:p>
            <w:pPr>
              <w:pStyle w:val="TableParagraph"/>
              <w:ind w:left="45" w:right="10"/>
              <w:jc w:val="center"/>
              <w:rPr>
                <w:sz w:val="11"/>
              </w:rPr>
            </w:pPr>
            <w:r>
              <w:rPr>
                <w:color w:val="231F20"/>
                <w:w w:val="105"/>
                <w:sz w:val="11"/>
              </w:rPr>
              <w:t>390</w:t>
            </w:r>
          </w:p>
        </w:tc>
      </w:tr>
      <w:tr>
        <w:trPr>
          <w:trHeight w:val="146" w:hRule="atLeast"/>
        </w:trPr>
        <w:tc>
          <w:tcPr>
            <w:tcW w:w="1537" w:type="dxa"/>
          </w:tcPr>
          <w:p>
            <w:pPr>
              <w:pStyle w:val="TableParagraph"/>
              <w:ind w:left="22"/>
              <w:rPr>
                <w:sz w:val="11"/>
              </w:rPr>
            </w:pPr>
            <w:r>
              <w:rPr>
                <w:color w:val="231F20"/>
                <w:w w:val="105"/>
                <w:sz w:val="11"/>
              </w:rPr>
              <w:t>Orlovskoye</w:t>
            </w:r>
          </w:p>
        </w:tc>
        <w:tc>
          <w:tcPr>
            <w:tcW w:w="860" w:type="dxa"/>
          </w:tcPr>
          <w:p>
            <w:pPr>
              <w:pStyle w:val="TableParagraph"/>
              <w:ind w:left="114"/>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40.00</w:t>
            </w:r>
          </w:p>
        </w:tc>
        <w:tc>
          <w:tcPr>
            <w:tcW w:w="364" w:type="dxa"/>
          </w:tcPr>
          <w:p>
            <w:pPr>
              <w:pStyle w:val="TableParagraph"/>
              <w:ind w:right="16"/>
              <w:jc w:val="right"/>
              <w:rPr>
                <w:sz w:val="11"/>
              </w:rPr>
            </w:pPr>
            <w:r>
              <w:rPr>
                <w:color w:val="231F20"/>
                <w:w w:val="105"/>
                <w:sz w:val="11"/>
              </w:rPr>
              <w:t>2.4</w:t>
            </w:r>
          </w:p>
        </w:tc>
        <w:tc>
          <w:tcPr>
            <w:tcW w:w="426" w:type="dxa"/>
          </w:tcPr>
          <w:p>
            <w:pPr>
              <w:pStyle w:val="TableParagraph"/>
              <w:ind w:right="59"/>
              <w:jc w:val="right"/>
              <w:rPr>
                <w:sz w:val="11"/>
              </w:rPr>
            </w:pPr>
            <w:r>
              <w:rPr>
                <w:color w:val="231F20"/>
                <w:w w:val="105"/>
                <w:sz w:val="11"/>
              </w:rPr>
              <w:t>0.5</w:t>
            </w:r>
          </w:p>
        </w:tc>
        <w:tc>
          <w:tcPr>
            <w:tcW w:w="357" w:type="dxa"/>
          </w:tcPr>
          <w:p>
            <w:pPr>
              <w:pStyle w:val="TableParagraph"/>
              <w:ind w:right="60"/>
              <w:jc w:val="right"/>
              <w:rPr>
                <w:sz w:val="11"/>
              </w:rPr>
            </w:pPr>
            <w:r>
              <w:rPr>
                <w:color w:val="231F20"/>
                <w:w w:val="105"/>
                <w:sz w:val="11"/>
              </w:rPr>
              <w:t>2.1</w:t>
            </w:r>
          </w:p>
        </w:tc>
        <w:tc>
          <w:tcPr>
            <w:tcW w:w="398" w:type="dxa"/>
          </w:tcPr>
          <w:p>
            <w:pPr>
              <w:pStyle w:val="TableParagraph"/>
              <w:ind w:right="37"/>
              <w:jc w:val="right"/>
              <w:rPr>
                <w:sz w:val="11"/>
              </w:rPr>
            </w:pPr>
            <w:r>
              <w:rPr>
                <w:color w:val="231F20"/>
                <w:w w:val="105"/>
                <w:sz w:val="11"/>
              </w:rPr>
              <w:t>0.80</w:t>
            </w:r>
          </w:p>
        </w:tc>
        <w:tc>
          <w:tcPr>
            <w:tcW w:w="464" w:type="dxa"/>
          </w:tcPr>
          <w:p>
            <w:pPr>
              <w:pStyle w:val="TableParagraph"/>
              <w:ind w:left="77" w:right="54"/>
              <w:jc w:val="center"/>
              <w:rPr>
                <w:sz w:val="11"/>
              </w:rPr>
            </w:pPr>
            <w:r>
              <w:rPr>
                <w:color w:val="231F20"/>
                <w:w w:val="105"/>
                <w:sz w:val="11"/>
              </w:rPr>
              <w:t>47.00</w:t>
            </w:r>
          </w:p>
        </w:tc>
        <w:tc>
          <w:tcPr>
            <w:tcW w:w="826" w:type="dxa"/>
          </w:tcPr>
          <w:p>
            <w:pPr>
              <w:pStyle w:val="TableParagraph"/>
              <w:ind w:left="45" w:right="10"/>
              <w:jc w:val="center"/>
              <w:rPr>
                <w:sz w:val="11"/>
              </w:rPr>
            </w:pPr>
            <w:r>
              <w:rPr>
                <w:color w:val="231F20"/>
                <w:w w:val="105"/>
                <w:sz w:val="11"/>
              </w:rPr>
              <w:t>392</w:t>
            </w:r>
          </w:p>
        </w:tc>
      </w:tr>
      <w:tr>
        <w:trPr>
          <w:trHeight w:val="146" w:hRule="atLeast"/>
        </w:trPr>
        <w:tc>
          <w:tcPr>
            <w:tcW w:w="1537" w:type="dxa"/>
          </w:tcPr>
          <w:p>
            <w:pPr>
              <w:pStyle w:val="TableParagraph"/>
              <w:ind w:left="22"/>
              <w:rPr>
                <w:sz w:val="11"/>
              </w:rPr>
            </w:pPr>
            <w:r>
              <w:rPr>
                <w:color w:val="231F20"/>
                <w:w w:val="105"/>
                <w:sz w:val="11"/>
              </w:rPr>
              <w:t>Ashele (#1)</w:t>
            </w:r>
          </w:p>
        </w:tc>
        <w:tc>
          <w:tcPr>
            <w:tcW w:w="860" w:type="dxa"/>
          </w:tcPr>
          <w:p>
            <w:pPr>
              <w:pStyle w:val="TableParagraph"/>
              <w:ind w:left="114"/>
              <w:rPr>
                <w:sz w:val="11"/>
              </w:rPr>
            </w:pPr>
            <w:r>
              <w:rPr>
                <w:color w:val="231F20"/>
                <w:w w:val="105"/>
                <w:sz w:val="11"/>
              </w:rPr>
              <w:t>China</w:t>
            </w:r>
          </w:p>
        </w:tc>
        <w:tc>
          <w:tcPr>
            <w:tcW w:w="1652" w:type="dxa"/>
          </w:tcPr>
          <w:p>
            <w:pPr>
              <w:pStyle w:val="TableParagraph"/>
              <w:ind w:left="105"/>
              <w:rPr>
                <w:sz w:val="11"/>
              </w:rPr>
            </w:pPr>
            <w:r>
              <w:rPr>
                <w:color w:val="231F20"/>
                <w:w w:val="105"/>
                <w:sz w:val="11"/>
              </w:rPr>
              <w:t>Altayshan (Hercynides)</w:t>
            </w:r>
          </w:p>
        </w:tc>
        <w:tc>
          <w:tcPr>
            <w:tcW w:w="910" w:type="dxa"/>
          </w:tcPr>
          <w:p>
            <w:pPr>
              <w:pStyle w:val="TableParagraph"/>
              <w:ind w:right="177"/>
              <w:jc w:val="right"/>
              <w:rPr>
                <w:sz w:val="11"/>
              </w:rPr>
            </w:pPr>
            <w:r>
              <w:rPr>
                <w:color w:val="231F20"/>
                <w:w w:val="105"/>
                <w:sz w:val="11"/>
              </w:rPr>
              <w:t>34.00</w:t>
            </w:r>
          </w:p>
        </w:tc>
        <w:tc>
          <w:tcPr>
            <w:tcW w:w="364" w:type="dxa"/>
          </w:tcPr>
          <w:p>
            <w:pPr>
              <w:pStyle w:val="TableParagraph"/>
              <w:ind w:right="16"/>
              <w:jc w:val="right"/>
              <w:rPr>
                <w:sz w:val="11"/>
              </w:rPr>
            </w:pPr>
            <w:r>
              <w:rPr>
                <w:color w:val="231F20"/>
                <w:w w:val="105"/>
                <w:sz w:val="11"/>
              </w:rPr>
              <w:t>2.51</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2.98</w:t>
            </w:r>
          </w:p>
        </w:tc>
        <w:tc>
          <w:tcPr>
            <w:tcW w:w="398" w:type="dxa"/>
          </w:tcPr>
          <w:p>
            <w:pPr>
              <w:pStyle w:val="TableParagraph"/>
              <w:ind w:right="37"/>
              <w:jc w:val="right"/>
              <w:rPr>
                <w:sz w:val="11"/>
              </w:rPr>
            </w:pPr>
            <w:r>
              <w:rPr>
                <w:color w:val="231F20"/>
                <w:w w:val="105"/>
                <w:sz w:val="11"/>
              </w:rPr>
              <w:t>0.57</w:t>
            </w:r>
          </w:p>
        </w:tc>
        <w:tc>
          <w:tcPr>
            <w:tcW w:w="464" w:type="dxa"/>
          </w:tcPr>
          <w:p>
            <w:pPr>
              <w:pStyle w:val="TableParagraph"/>
              <w:ind w:left="14" w:right="53"/>
              <w:jc w:val="center"/>
              <w:rPr>
                <w:sz w:val="11"/>
              </w:rPr>
            </w:pPr>
            <w:r>
              <w:rPr>
                <w:color w:val="231F20"/>
                <w:w w:val="105"/>
                <w:sz w:val="11"/>
              </w:rPr>
              <w:t>104.03</w:t>
            </w:r>
          </w:p>
        </w:tc>
        <w:tc>
          <w:tcPr>
            <w:tcW w:w="826" w:type="dxa"/>
          </w:tcPr>
          <w:p>
            <w:pPr>
              <w:pStyle w:val="TableParagraph"/>
              <w:ind w:left="45" w:right="10"/>
              <w:jc w:val="center"/>
              <w:rPr>
                <w:sz w:val="11"/>
              </w:rPr>
            </w:pPr>
            <w:r>
              <w:rPr>
                <w:color w:val="231F20"/>
                <w:w w:val="105"/>
                <w:sz w:val="11"/>
              </w:rPr>
              <w:t>375</w:t>
            </w:r>
          </w:p>
        </w:tc>
      </w:tr>
      <w:tr>
        <w:trPr>
          <w:trHeight w:val="146" w:hRule="atLeast"/>
        </w:trPr>
        <w:tc>
          <w:tcPr>
            <w:tcW w:w="1537" w:type="dxa"/>
          </w:tcPr>
          <w:p>
            <w:pPr>
              <w:pStyle w:val="TableParagraph"/>
              <w:ind w:left="22"/>
              <w:rPr>
                <w:sz w:val="11"/>
              </w:rPr>
            </w:pPr>
            <w:r>
              <w:rPr>
                <w:color w:val="231F20"/>
                <w:w w:val="105"/>
                <w:sz w:val="11"/>
              </w:rPr>
              <w:t>Xiaotieshan</w:t>
            </w:r>
          </w:p>
        </w:tc>
        <w:tc>
          <w:tcPr>
            <w:tcW w:w="860" w:type="dxa"/>
          </w:tcPr>
          <w:p>
            <w:pPr>
              <w:pStyle w:val="TableParagraph"/>
              <w:ind w:left="113"/>
              <w:rPr>
                <w:sz w:val="11"/>
              </w:rPr>
            </w:pPr>
            <w:r>
              <w:rPr>
                <w:color w:val="231F20"/>
                <w:w w:val="105"/>
                <w:sz w:val="11"/>
              </w:rPr>
              <w:t>China</w:t>
            </w:r>
          </w:p>
        </w:tc>
        <w:tc>
          <w:tcPr>
            <w:tcW w:w="1652" w:type="dxa"/>
          </w:tcPr>
          <w:p>
            <w:pPr>
              <w:pStyle w:val="TableParagraph"/>
              <w:ind w:left="105"/>
              <w:rPr>
                <w:sz w:val="11"/>
              </w:rPr>
            </w:pPr>
            <w:r>
              <w:rPr>
                <w:color w:val="231F20"/>
                <w:w w:val="105"/>
                <w:sz w:val="11"/>
              </w:rPr>
              <w:t>Tarim-NorthQilian (Caled.)</w:t>
            </w:r>
          </w:p>
        </w:tc>
        <w:tc>
          <w:tcPr>
            <w:tcW w:w="910" w:type="dxa"/>
          </w:tcPr>
          <w:p>
            <w:pPr>
              <w:pStyle w:val="TableParagraph"/>
              <w:ind w:right="177"/>
              <w:jc w:val="right"/>
              <w:rPr>
                <w:sz w:val="11"/>
              </w:rPr>
            </w:pPr>
            <w:r>
              <w:rPr>
                <w:color w:val="231F20"/>
                <w:w w:val="105"/>
                <w:sz w:val="11"/>
              </w:rPr>
              <w:t>34.00</w:t>
            </w:r>
          </w:p>
        </w:tc>
        <w:tc>
          <w:tcPr>
            <w:tcW w:w="364" w:type="dxa"/>
          </w:tcPr>
          <w:p>
            <w:pPr>
              <w:pStyle w:val="TableParagraph"/>
              <w:ind w:right="16"/>
              <w:jc w:val="right"/>
              <w:rPr>
                <w:sz w:val="11"/>
              </w:rPr>
            </w:pPr>
            <w:r>
              <w:rPr>
                <w:color w:val="231F20"/>
                <w:w w:val="105"/>
                <w:sz w:val="11"/>
              </w:rPr>
              <w:t>1.26</w:t>
            </w:r>
          </w:p>
        </w:tc>
        <w:tc>
          <w:tcPr>
            <w:tcW w:w="426" w:type="dxa"/>
          </w:tcPr>
          <w:p>
            <w:pPr>
              <w:pStyle w:val="TableParagraph"/>
              <w:ind w:right="59"/>
              <w:jc w:val="right"/>
              <w:rPr>
                <w:sz w:val="11"/>
              </w:rPr>
            </w:pPr>
            <w:r>
              <w:rPr>
                <w:color w:val="231F20"/>
                <w:w w:val="105"/>
                <w:sz w:val="11"/>
              </w:rPr>
              <w:t>3.39</w:t>
            </w:r>
          </w:p>
        </w:tc>
        <w:tc>
          <w:tcPr>
            <w:tcW w:w="357" w:type="dxa"/>
          </w:tcPr>
          <w:p>
            <w:pPr>
              <w:pStyle w:val="TableParagraph"/>
              <w:ind w:right="60"/>
              <w:jc w:val="right"/>
              <w:rPr>
                <w:sz w:val="11"/>
              </w:rPr>
            </w:pPr>
            <w:r>
              <w:rPr>
                <w:color w:val="231F20"/>
                <w:w w:val="105"/>
                <w:sz w:val="11"/>
              </w:rPr>
              <w:t>5.33</w:t>
            </w:r>
          </w:p>
        </w:tc>
        <w:tc>
          <w:tcPr>
            <w:tcW w:w="398" w:type="dxa"/>
          </w:tcPr>
          <w:p>
            <w:pPr>
              <w:pStyle w:val="TableParagraph"/>
              <w:ind w:right="37"/>
              <w:jc w:val="right"/>
              <w:rPr>
                <w:sz w:val="11"/>
              </w:rPr>
            </w:pPr>
            <w:r>
              <w:rPr>
                <w:color w:val="231F20"/>
                <w:w w:val="105"/>
                <w:sz w:val="11"/>
              </w:rPr>
              <w:t>2.28</w:t>
            </w:r>
          </w:p>
        </w:tc>
        <w:tc>
          <w:tcPr>
            <w:tcW w:w="464" w:type="dxa"/>
          </w:tcPr>
          <w:p>
            <w:pPr>
              <w:pStyle w:val="TableParagraph"/>
              <w:ind w:left="14" w:right="54"/>
              <w:jc w:val="center"/>
              <w:rPr>
                <w:sz w:val="11"/>
              </w:rPr>
            </w:pPr>
            <w:r>
              <w:rPr>
                <w:color w:val="231F20"/>
                <w:w w:val="105"/>
                <w:sz w:val="11"/>
              </w:rPr>
              <w:t>126.20</w:t>
            </w:r>
          </w:p>
        </w:tc>
        <w:tc>
          <w:tcPr>
            <w:tcW w:w="826" w:type="dxa"/>
          </w:tcPr>
          <w:p>
            <w:pPr>
              <w:pStyle w:val="TableParagraph"/>
              <w:ind w:left="45" w:right="10"/>
              <w:jc w:val="center"/>
              <w:rPr>
                <w:sz w:val="11"/>
              </w:rPr>
            </w:pPr>
            <w:r>
              <w:rPr>
                <w:color w:val="231F20"/>
                <w:w w:val="105"/>
                <w:sz w:val="11"/>
              </w:rPr>
              <w:t>440</w:t>
            </w:r>
          </w:p>
        </w:tc>
      </w:tr>
      <w:tr>
        <w:trPr>
          <w:trHeight w:val="146" w:hRule="atLeast"/>
        </w:trPr>
        <w:tc>
          <w:tcPr>
            <w:tcW w:w="1537" w:type="dxa"/>
          </w:tcPr>
          <w:p>
            <w:pPr>
              <w:pStyle w:val="TableParagraph"/>
              <w:ind w:left="22"/>
              <w:rPr>
                <w:sz w:val="11"/>
              </w:rPr>
            </w:pPr>
            <w:r>
              <w:rPr>
                <w:color w:val="231F20"/>
                <w:w w:val="105"/>
                <w:sz w:val="11"/>
              </w:rPr>
              <w:t>Arctic (Brooks Range,Ak)</w:t>
            </w:r>
          </w:p>
        </w:tc>
        <w:tc>
          <w:tcPr>
            <w:tcW w:w="860" w:type="dxa"/>
          </w:tcPr>
          <w:p>
            <w:pPr>
              <w:pStyle w:val="TableParagraph"/>
              <w:ind w:left="113"/>
              <w:rPr>
                <w:sz w:val="11"/>
              </w:rPr>
            </w:pPr>
            <w:r>
              <w:rPr>
                <w:color w:val="231F20"/>
                <w:w w:val="105"/>
                <w:sz w:val="11"/>
              </w:rPr>
              <w:t>USA</w:t>
            </w:r>
          </w:p>
        </w:tc>
        <w:tc>
          <w:tcPr>
            <w:tcW w:w="1652" w:type="dxa"/>
          </w:tcPr>
          <w:p>
            <w:pPr>
              <w:pStyle w:val="TableParagraph"/>
              <w:ind w:left="105"/>
              <w:rPr>
                <w:sz w:val="11"/>
              </w:rPr>
            </w:pPr>
            <w:r>
              <w:rPr>
                <w:color w:val="231F20"/>
                <w:w w:val="105"/>
                <w:sz w:val="11"/>
              </w:rPr>
              <w:t>N.Cordilleran</w:t>
            </w:r>
          </w:p>
        </w:tc>
        <w:tc>
          <w:tcPr>
            <w:tcW w:w="910" w:type="dxa"/>
          </w:tcPr>
          <w:p>
            <w:pPr>
              <w:pStyle w:val="TableParagraph"/>
              <w:ind w:right="177"/>
              <w:jc w:val="right"/>
              <w:rPr>
                <w:sz w:val="11"/>
              </w:rPr>
            </w:pPr>
            <w:r>
              <w:rPr>
                <w:color w:val="231F20"/>
                <w:w w:val="105"/>
                <w:sz w:val="11"/>
              </w:rPr>
              <w:t>32.93</w:t>
            </w:r>
          </w:p>
        </w:tc>
        <w:tc>
          <w:tcPr>
            <w:tcW w:w="364" w:type="dxa"/>
          </w:tcPr>
          <w:p>
            <w:pPr>
              <w:pStyle w:val="TableParagraph"/>
              <w:ind w:right="16"/>
              <w:jc w:val="right"/>
              <w:rPr>
                <w:sz w:val="11"/>
              </w:rPr>
            </w:pPr>
            <w:r>
              <w:rPr>
                <w:color w:val="231F20"/>
                <w:w w:val="106"/>
                <w:sz w:val="11"/>
              </w:rPr>
              <w:t>4</w:t>
            </w:r>
          </w:p>
        </w:tc>
        <w:tc>
          <w:tcPr>
            <w:tcW w:w="426" w:type="dxa"/>
          </w:tcPr>
          <w:p>
            <w:pPr>
              <w:pStyle w:val="TableParagraph"/>
              <w:ind w:right="59"/>
              <w:jc w:val="right"/>
              <w:rPr>
                <w:sz w:val="11"/>
              </w:rPr>
            </w:pPr>
            <w:r>
              <w:rPr>
                <w:color w:val="231F20"/>
                <w:w w:val="105"/>
                <w:sz w:val="11"/>
              </w:rPr>
              <w:t>0.8</w:t>
            </w:r>
          </w:p>
        </w:tc>
        <w:tc>
          <w:tcPr>
            <w:tcW w:w="357" w:type="dxa"/>
          </w:tcPr>
          <w:p>
            <w:pPr>
              <w:pStyle w:val="TableParagraph"/>
              <w:ind w:right="60"/>
              <w:jc w:val="right"/>
              <w:rPr>
                <w:sz w:val="11"/>
              </w:rPr>
            </w:pPr>
            <w:r>
              <w:rPr>
                <w:color w:val="231F20"/>
                <w:w w:val="105"/>
                <w:sz w:val="11"/>
              </w:rPr>
              <w:t>5.5</w:t>
            </w:r>
          </w:p>
        </w:tc>
        <w:tc>
          <w:tcPr>
            <w:tcW w:w="398" w:type="dxa"/>
          </w:tcPr>
          <w:p>
            <w:pPr>
              <w:pStyle w:val="TableParagraph"/>
              <w:ind w:right="37"/>
              <w:jc w:val="right"/>
              <w:rPr>
                <w:sz w:val="11"/>
              </w:rPr>
            </w:pPr>
            <w:r>
              <w:rPr>
                <w:color w:val="231F20"/>
                <w:w w:val="105"/>
                <w:sz w:val="11"/>
              </w:rPr>
              <w:t>0.70</w:t>
            </w:r>
          </w:p>
        </w:tc>
        <w:tc>
          <w:tcPr>
            <w:tcW w:w="464" w:type="dxa"/>
          </w:tcPr>
          <w:p>
            <w:pPr>
              <w:pStyle w:val="TableParagraph"/>
              <w:ind w:left="77" w:right="54"/>
              <w:jc w:val="center"/>
              <w:rPr>
                <w:sz w:val="11"/>
              </w:rPr>
            </w:pPr>
            <w:r>
              <w:rPr>
                <w:color w:val="231F20"/>
                <w:w w:val="105"/>
                <w:sz w:val="11"/>
              </w:rPr>
              <w:t>55.00</w:t>
            </w:r>
          </w:p>
        </w:tc>
        <w:tc>
          <w:tcPr>
            <w:tcW w:w="826" w:type="dxa"/>
          </w:tcPr>
          <w:p>
            <w:pPr>
              <w:pStyle w:val="TableParagraph"/>
              <w:ind w:left="45" w:right="10"/>
              <w:jc w:val="center"/>
              <w:rPr>
                <w:sz w:val="11"/>
              </w:rPr>
            </w:pPr>
            <w:r>
              <w:rPr>
                <w:color w:val="231F20"/>
                <w:w w:val="105"/>
                <w:sz w:val="11"/>
              </w:rPr>
              <w:t>365</w:t>
            </w:r>
          </w:p>
        </w:tc>
      </w:tr>
      <w:tr>
        <w:trPr>
          <w:trHeight w:val="146" w:hRule="atLeast"/>
        </w:trPr>
        <w:tc>
          <w:tcPr>
            <w:tcW w:w="1537" w:type="dxa"/>
          </w:tcPr>
          <w:p>
            <w:pPr>
              <w:pStyle w:val="TableParagraph"/>
              <w:ind w:left="22"/>
              <w:rPr>
                <w:sz w:val="11"/>
              </w:rPr>
            </w:pPr>
            <w:r>
              <w:rPr>
                <w:color w:val="231F20"/>
                <w:w w:val="105"/>
                <w:sz w:val="11"/>
              </w:rPr>
              <w:t>Rosebery</w:t>
            </w:r>
          </w:p>
        </w:tc>
        <w:tc>
          <w:tcPr>
            <w:tcW w:w="860" w:type="dxa"/>
          </w:tcPr>
          <w:p>
            <w:pPr>
              <w:pStyle w:val="TableParagraph"/>
              <w:ind w:left="114"/>
              <w:rPr>
                <w:sz w:val="11"/>
              </w:rPr>
            </w:pPr>
            <w:r>
              <w:rPr>
                <w:color w:val="231F20"/>
                <w:w w:val="105"/>
                <w:sz w:val="11"/>
              </w:rPr>
              <w:t>Australia</w:t>
            </w:r>
          </w:p>
        </w:tc>
        <w:tc>
          <w:tcPr>
            <w:tcW w:w="1652" w:type="dxa"/>
          </w:tcPr>
          <w:p>
            <w:pPr>
              <w:pStyle w:val="TableParagraph"/>
              <w:ind w:left="105"/>
              <w:rPr>
                <w:sz w:val="11"/>
              </w:rPr>
            </w:pPr>
            <w:r>
              <w:rPr>
                <w:color w:val="231F20"/>
                <w:w w:val="105"/>
                <w:sz w:val="11"/>
              </w:rPr>
              <w:t>Tasman</w:t>
            </w:r>
          </w:p>
        </w:tc>
        <w:tc>
          <w:tcPr>
            <w:tcW w:w="910" w:type="dxa"/>
          </w:tcPr>
          <w:p>
            <w:pPr>
              <w:pStyle w:val="TableParagraph"/>
              <w:ind w:right="177"/>
              <w:jc w:val="right"/>
              <w:rPr>
                <w:sz w:val="11"/>
              </w:rPr>
            </w:pPr>
            <w:r>
              <w:rPr>
                <w:color w:val="231F20"/>
                <w:w w:val="105"/>
                <w:sz w:val="11"/>
              </w:rPr>
              <w:t>32.70</w:t>
            </w:r>
          </w:p>
        </w:tc>
        <w:tc>
          <w:tcPr>
            <w:tcW w:w="364" w:type="dxa"/>
          </w:tcPr>
          <w:p>
            <w:pPr>
              <w:pStyle w:val="TableParagraph"/>
              <w:ind w:right="16"/>
              <w:jc w:val="right"/>
              <w:rPr>
                <w:sz w:val="11"/>
              </w:rPr>
            </w:pPr>
            <w:r>
              <w:rPr>
                <w:color w:val="231F20"/>
                <w:w w:val="105"/>
                <w:sz w:val="11"/>
              </w:rPr>
              <w:t>0.58</w:t>
            </w:r>
          </w:p>
        </w:tc>
        <w:tc>
          <w:tcPr>
            <w:tcW w:w="426" w:type="dxa"/>
          </w:tcPr>
          <w:p>
            <w:pPr>
              <w:pStyle w:val="TableParagraph"/>
              <w:ind w:right="59"/>
              <w:jc w:val="right"/>
              <w:rPr>
                <w:sz w:val="11"/>
              </w:rPr>
            </w:pPr>
            <w:r>
              <w:rPr>
                <w:color w:val="231F20"/>
                <w:w w:val="105"/>
                <w:sz w:val="11"/>
              </w:rPr>
              <w:t>4.4</w:t>
            </w:r>
          </w:p>
        </w:tc>
        <w:tc>
          <w:tcPr>
            <w:tcW w:w="357" w:type="dxa"/>
          </w:tcPr>
          <w:p>
            <w:pPr>
              <w:pStyle w:val="TableParagraph"/>
              <w:ind w:right="60"/>
              <w:jc w:val="right"/>
              <w:rPr>
                <w:sz w:val="11"/>
              </w:rPr>
            </w:pPr>
            <w:r>
              <w:rPr>
                <w:color w:val="231F20"/>
                <w:w w:val="105"/>
                <w:sz w:val="11"/>
              </w:rPr>
              <w:t>14.5</w:t>
            </w:r>
          </w:p>
        </w:tc>
        <w:tc>
          <w:tcPr>
            <w:tcW w:w="398" w:type="dxa"/>
          </w:tcPr>
          <w:p>
            <w:pPr>
              <w:pStyle w:val="TableParagraph"/>
              <w:ind w:right="37"/>
              <w:jc w:val="right"/>
              <w:rPr>
                <w:sz w:val="11"/>
              </w:rPr>
            </w:pPr>
            <w:r>
              <w:rPr>
                <w:color w:val="231F20"/>
                <w:w w:val="105"/>
                <w:sz w:val="11"/>
              </w:rPr>
              <w:t>2.70</w:t>
            </w:r>
          </w:p>
        </w:tc>
        <w:tc>
          <w:tcPr>
            <w:tcW w:w="464" w:type="dxa"/>
          </w:tcPr>
          <w:p>
            <w:pPr>
              <w:pStyle w:val="TableParagraph"/>
              <w:ind w:left="14" w:right="53"/>
              <w:jc w:val="center"/>
              <w:rPr>
                <w:sz w:val="11"/>
              </w:rPr>
            </w:pPr>
            <w:r>
              <w:rPr>
                <w:color w:val="231F20"/>
                <w:w w:val="105"/>
                <w:sz w:val="11"/>
              </w:rPr>
              <w:t>145.00</w:t>
            </w:r>
          </w:p>
        </w:tc>
        <w:tc>
          <w:tcPr>
            <w:tcW w:w="826" w:type="dxa"/>
          </w:tcPr>
          <w:p>
            <w:pPr>
              <w:pStyle w:val="TableParagraph"/>
              <w:ind w:left="45" w:right="10"/>
              <w:jc w:val="center"/>
              <w:rPr>
                <w:sz w:val="11"/>
              </w:rPr>
            </w:pPr>
            <w:r>
              <w:rPr>
                <w:color w:val="231F20"/>
                <w:w w:val="105"/>
                <w:sz w:val="11"/>
              </w:rPr>
              <w:t>495</w:t>
            </w:r>
          </w:p>
        </w:tc>
      </w:tr>
      <w:tr>
        <w:trPr>
          <w:trHeight w:val="146" w:hRule="atLeast"/>
        </w:trPr>
        <w:tc>
          <w:tcPr>
            <w:tcW w:w="1537" w:type="dxa"/>
          </w:tcPr>
          <w:p>
            <w:pPr>
              <w:pStyle w:val="TableParagraph"/>
              <w:ind w:left="22"/>
              <w:rPr>
                <w:sz w:val="11"/>
              </w:rPr>
            </w:pPr>
            <w:r>
              <w:rPr>
                <w:color w:val="231F20"/>
                <w:w w:val="105"/>
                <w:sz w:val="11"/>
              </w:rPr>
              <w:t>Liwu</w:t>
            </w:r>
          </w:p>
        </w:tc>
        <w:tc>
          <w:tcPr>
            <w:tcW w:w="860" w:type="dxa"/>
          </w:tcPr>
          <w:p>
            <w:pPr>
              <w:pStyle w:val="TableParagraph"/>
              <w:ind w:left="114"/>
              <w:rPr>
                <w:sz w:val="11"/>
              </w:rPr>
            </w:pPr>
            <w:r>
              <w:rPr>
                <w:color w:val="231F20"/>
                <w:w w:val="105"/>
                <w:sz w:val="11"/>
              </w:rPr>
              <w:t>China</w:t>
            </w:r>
          </w:p>
        </w:tc>
        <w:tc>
          <w:tcPr>
            <w:tcW w:w="1652" w:type="dxa"/>
          </w:tcPr>
          <w:p>
            <w:pPr>
              <w:pStyle w:val="TableParagraph"/>
              <w:ind w:left="105"/>
              <w:rPr>
                <w:sz w:val="11"/>
              </w:rPr>
            </w:pPr>
            <w:r>
              <w:rPr>
                <w:color w:val="231F20"/>
                <w:w w:val="105"/>
                <w:sz w:val="11"/>
              </w:rPr>
              <w:t>Yidun, Indosinian (Tethyan)</w:t>
            </w:r>
          </w:p>
        </w:tc>
        <w:tc>
          <w:tcPr>
            <w:tcW w:w="910" w:type="dxa"/>
          </w:tcPr>
          <w:p>
            <w:pPr>
              <w:pStyle w:val="TableParagraph"/>
              <w:ind w:right="177"/>
              <w:jc w:val="right"/>
              <w:rPr>
                <w:sz w:val="11"/>
              </w:rPr>
            </w:pPr>
            <w:r>
              <w:rPr>
                <w:color w:val="231F20"/>
                <w:w w:val="105"/>
                <w:sz w:val="11"/>
              </w:rPr>
              <w:t>31.00</w:t>
            </w:r>
          </w:p>
        </w:tc>
        <w:tc>
          <w:tcPr>
            <w:tcW w:w="364" w:type="dxa"/>
          </w:tcPr>
          <w:p>
            <w:pPr>
              <w:pStyle w:val="TableParagraph"/>
              <w:ind w:right="16"/>
              <w:jc w:val="right"/>
              <w:rPr>
                <w:sz w:val="11"/>
              </w:rPr>
            </w:pPr>
            <w:r>
              <w:rPr>
                <w:color w:val="231F20"/>
                <w:w w:val="105"/>
                <w:sz w:val="11"/>
              </w:rPr>
              <w:t>2.5</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0.62</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5" w:right="10"/>
              <w:jc w:val="center"/>
              <w:rPr>
                <w:sz w:val="11"/>
              </w:rPr>
            </w:pPr>
            <w:r>
              <w:rPr>
                <w:color w:val="231F20"/>
                <w:w w:val="105"/>
                <w:sz w:val="11"/>
              </w:rPr>
              <w:t>430</w:t>
            </w:r>
          </w:p>
        </w:tc>
      </w:tr>
      <w:tr>
        <w:trPr>
          <w:trHeight w:val="146" w:hRule="atLeast"/>
        </w:trPr>
        <w:tc>
          <w:tcPr>
            <w:tcW w:w="1537" w:type="dxa"/>
          </w:tcPr>
          <w:p>
            <w:pPr>
              <w:pStyle w:val="TableParagraph"/>
              <w:ind w:left="22"/>
              <w:rPr>
                <w:sz w:val="11"/>
              </w:rPr>
            </w:pPr>
            <w:r>
              <w:rPr>
                <w:color w:val="231F20"/>
                <w:w w:val="105"/>
                <w:sz w:val="11"/>
              </w:rPr>
              <w:t>Belousov</w:t>
            </w:r>
          </w:p>
        </w:tc>
        <w:tc>
          <w:tcPr>
            <w:tcW w:w="860" w:type="dxa"/>
          </w:tcPr>
          <w:p>
            <w:pPr>
              <w:pStyle w:val="TableParagraph"/>
              <w:ind w:left="114"/>
              <w:rPr>
                <w:sz w:val="11"/>
              </w:rPr>
            </w:pPr>
            <w:r>
              <w:rPr>
                <w:color w:val="231F20"/>
                <w:w w:val="105"/>
                <w:sz w:val="11"/>
              </w:rPr>
              <w:t>Kazakhstan</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30.00</w:t>
            </w:r>
          </w:p>
        </w:tc>
        <w:tc>
          <w:tcPr>
            <w:tcW w:w="364" w:type="dxa"/>
          </w:tcPr>
          <w:p>
            <w:pPr>
              <w:pStyle w:val="TableParagraph"/>
              <w:ind w:right="16"/>
              <w:jc w:val="right"/>
              <w:rPr>
                <w:sz w:val="11"/>
              </w:rPr>
            </w:pPr>
            <w:r>
              <w:rPr>
                <w:color w:val="231F20"/>
                <w:w w:val="105"/>
                <w:sz w:val="11"/>
              </w:rPr>
              <w:t>2.6</w:t>
            </w:r>
          </w:p>
        </w:tc>
        <w:tc>
          <w:tcPr>
            <w:tcW w:w="426" w:type="dxa"/>
          </w:tcPr>
          <w:p>
            <w:pPr>
              <w:pStyle w:val="TableParagraph"/>
              <w:ind w:right="59"/>
              <w:jc w:val="right"/>
              <w:rPr>
                <w:sz w:val="11"/>
              </w:rPr>
            </w:pPr>
            <w:r>
              <w:rPr>
                <w:color w:val="231F20"/>
                <w:w w:val="105"/>
                <w:sz w:val="11"/>
              </w:rPr>
              <w:t>2.4</w:t>
            </w:r>
          </w:p>
        </w:tc>
        <w:tc>
          <w:tcPr>
            <w:tcW w:w="357" w:type="dxa"/>
          </w:tcPr>
          <w:p>
            <w:pPr>
              <w:pStyle w:val="TableParagraph"/>
              <w:ind w:right="60"/>
              <w:jc w:val="right"/>
              <w:rPr>
                <w:sz w:val="11"/>
              </w:rPr>
            </w:pPr>
            <w:r>
              <w:rPr>
                <w:color w:val="231F20"/>
                <w:w w:val="105"/>
                <w:sz w:val="11"/>
              </w:rPr>
              <w:t>9.2</w:t>
            </w:r>
          </w:p>
        </w:tc>
        <w:tc>
          <w:tcPr>
            <w:tcW w:w="398" w:type="dxa"/>
          </w:tcPr>
          <w:p>
            <w:pPr>
              <w:pStyle w:val="TableParagraph"/>
              <w:ind w:right="37"/>
              <w:jc w:val="right"/>
              <w:rPr>
                <w:sz w:val="11"/>
              </w:rPr>
            </w:pPr>
            <w:r>
              <w:rPr>
                <w:color w:val="231F20"/>
                <w:w w:val="105"/>
                <w:sz w:val="11"/>
              </w:rPr>
              <w:t>2.00</w:t>
            </w:r>
          </w:p>
        </w:tc>
        <w:tc>
          <w:tcPr>
            <w:tcW w:w="464" w:type="dxa"/>
          </w:tcPr>
          <w:p>
            <w:pPr>
              <w:pStyle w:val="TableParagraph"/>
              <w:ind w:left="14" w:right="54"/>
              <w:jc w:val="center"/>
              <w:rPr>
                <w:sz w:val="11"/>
              </w:rPr>
            </w:pPr>
            <w:r>
              <w:rPr>
                <w:color w:val="231F20"/>
                <w:w w:val="105"/>
                <w:sz w:val="11"/>
              </w:rPr>
              <w:t>119.00</w:t>
            </w:r>
          </w:p>
        </w:tc>
        <w:tc>
          <w:tcPr>
            <w:tcW w:w="826" w:type="dxa"/>
          </w:tcPr>
          <w:p>
            <w:pPr>
              <w:pStyle w:val="TableParagraph"/>
              <w:ind w:left="45" w:right="10"/>
              <w:jc w:val="center"/>
              <w:rPr>
                <w:sz w:val="11"/>
              </w:rPr>
            </w:pPr>
            <w:r>
              <w:rPr>
                <w:color w:val="231F20"/>
                <w:w w:val="105"/>
                <w:sz w:val="11"/>
              </w:rPr>
              <w:t>395</w:t>
            </w:r>
          </w:p>
        </w:tc>
      </w:tr>
      <w:tr>
        <w:trPr>
          <w:trHeight w:val="146" w:hRule="atLeast"/>
        </w:trPr>
        <w:tc>
          <w:tcPr>
            <w:tcW w:w="1537" w:type="dxa"/>
          </w:tcPr>
          <w:p>
            <w:pPr>
              <w:pStyle w:val="TableParagraph"/>
              <w:ind w:left="22"/>
              <w:rPr>
                <w:sz w:val="11"/>
              </w:rPr>
            </w:pPr>
            <w:r>
              <w:rPr>
                <w:color w:val="231F20"/>
                <w:w w:val="105"/>
                <w:sz w:val="11"/>
              </w:rPr>
              <w:t>Lokken ( Hoydal)</w:t>
            </w:r>
          </w:p>
        </w:tc>
        <w:tc>
          <w:tcPr>
            <w:tcW w:w="860" w:type="dxa"/>
          </w:tcPr>
          <w:p>
            <w:pPr>
              <w:pStyle w:val="TableParagraph"/>
              <w:ind w:left="113"/>
              <w:rPr>
                <w:sz w:val="11"/>
              </w:rPr>
            </w:pPr>
            <w:r>
              <w:rPr>
                <w:color w:val="231F20"/>
                <w:w w:val="105"/>
                <w:sz w:val="11"/>
              </w:rPr>
              <w:t>Norway</w:t>
            </w:r>
          </w:p>
        </w:tc>
        <w:tc>
          <w:tcPr>
            <w:tcW w:w="1652" w:type="dxa"/>
          </w:tcPr>
          <w:p>
            <w:pPr>
              <w:pStyle w:val="TableParagraph"/>
              <w:ind w:left="105"/>
              <w:rPr>
                <w:sz w:val="11"/>
              </w:rPr>
            </w:pPr>
            <w:r>
              <w:rPr>
                <w:color w:val="231F20"/>
                <w:w w:val="105"/>
                <w:sz w:val="11"/>
              </w:rPr>
              <w:t>Caledonian</w:t>
            </w:r>
          </w:p>
        </w:tc>
        <w:tc>
          <w:tcPr>
            <w:tcW w:w="910" w:type="dxa"/>
          </w:tcPr>
          <w:p>
            <w:pPr>
              <w:pStyle w:val="TableParagraph"/>
              <w:ind w:right="177"/>
              <w:jc w:val="right"/>
              <w:rPr>
                <w:sz w:val="11"/>
              </w:rPr>
            </w:pPr>
            <w:r>
              <w:rPr>
                <w:color w:val="231F20"/>
                <w:w w:val="105"/>
                <w:sz w:val="11"/>
              </w:rPr>
              <w:t>30.00</w:t>
            </w:r>
          </w:p>
        </w:tc>
        <w:tc>
          <w:tcPr>
            <w:tcW w:w="364" w:type="dxa"/>
          </w:tcPr>
          <w:p>
            <w:pPr>
              <w:pStyle w:val="TableParagraph"/>
              <w:ind w:right="16"/>
              <w:jc w:val="right"/>
              <w:rPr>
                <w:sz w:val="11"/>
              </w:rPr>
            </w:pPr>
            <w:r>
              <w:rPr>
                <w:color w:val="231F20"/>
                <w:w w:val="105"/>
                <w:sz w:val="11"/>
              </w:rPr>
              <w:t>2.3</w:t>
            </w:r>
          </w:p>
        </w:tc>
        <w:tc>
          <w:tcPr>
            <w:tcW w:w="426" w:type="dxa"/>
          </w:tcPr>
          <w:p>
            <w:pPr>
              <w:pStyle w:val="TableParagraph"/>
              <w:ind w:right="59"/>
              <w:jc w:val="right"/>
              <w:rPr>
                <w:sz w:val="11"/>
              </w:rPr>
            </w:pPr>
            <w:r>
              <w:rPr>
                <w:color w:val="231F20"/>
                <w:w w:val="105"/>
                <w:sz w:val="11"/>
              </w:rPr>
              <w:t>0.02</w:t>
            </w:r>
          </w:p>
        </w:tc>
        <w:tc>
          <w:tcPr>
            <w:tcW w:w="357" w:type="dxa"/>
          </w:tcPr>
          <w:p>
            <w:pPr>
              <w:pStyle w:val="TableParagraph"/>
              <w:ind w:right="60"/>
              <w:jc w:val="right"/>
              <w:rPr>
                <w:sz w:val="11"/>
              </w:rPr>
            </w:pPr>
            <w:r>
              <w:rPr>
                <w:color w:val="231F20"/>
                <w:w w:val="105"/>
                <w:sz w:val="11"/>
              </w:rPr>
              <w:t>1.8</w:t>
            </w:r>
          </w:p>
        </w:tc>
        <w:tc>
          <w:tcPr>
            <w:tcW w:w="398" w:type="dxa"/>
          </w:tcPr>
          <w:p>
            <w:pPr>
              <w:pStyle w:val="TableParagraph"/>
              <w:ind w:right="37"/>
              <w:jc w:val="right"/>
              <w:rPr>
                <w:sz w:val="11"/>
              </w:rPr>
            </w:pPr>
            <w:r>
              <w:rPr>
                <w:color w:val="231F20"/>
                <w:w w:val="105"/>
                <w:sz w:val="11"/>
              </w:rPr>
              <w:t>0.29</w:t>
            </w:r>
          </w:p>
        </w:tc>
        <w:tc>
          <w:tcPr>
            <w:tcW w:w="464" w:type="dxa"/>
          </w:tcPr>
          <w:p>
            <w:pPr>
              <w:pStyle w:val="TableParagraph"/>
              <w:ind w:left="77" w:right="54"/>
              <w:jc w:val="center"/>
              <w:rPr>
                <w:sz w:val="11"/>
              </w:rPr>
            </w:pPr>
            <w:r>
              <w:rPr>
                <w:color w:val="231F20"/>
                <w:w w:val="105"/>
                <w:sz w:val="11"/>
              </w:rPr>
              <w:t>19.00</w:t>
            </w:r>
          </w:p>
        </w:tc>
        <w:tc>
          <w:tcPr>
            <w:tcW w:w="826" w:type="dxa"/>
          </w:tcPr>
          <w:p>
            <w:pPr>
              <w:pStyle w:val="TableParagraph"/>
              <w:ind w:left="45" w:right="10"/>
              <w:jc w:val="center"/>
              <w:rPr>
                <w:sz w:val="11"/>
              </w:rPr>
            </w:pPr>
            <w:r>
              <w:rPr>
                <w:color w:val="231F20"/>
                <w:w w:val="105"/>
                <w:sz w:val="11"/>
              </w:rPr>
              <w:t>450</w:t>
            </w:r>
          </w:p>
        </w:tc>
      </w:tr>
      <w:tr>
        <w:trPr>
          <w:trHeight w:val="146" w:hRule="atLeast"/>
        </w:trPr>
        <w:tc>
          <w:tcPr>
            <w:tcW w:w="1537" w:type="dxa"/>
          </w:tcPr>
          <w:p>
            <w:pPr>
              <w:pStyle w:val="TableParagraph"/>
              <w:ind w:left="22"/>
              <w:rPr>
                <w:sz w:val="11"/>
              </w:rPr>
            </w:pPr>
            <w:r>
              <w:rPr>
                <w:color w:val="231F20"/>
                <w:w w:val="105"/>
                <w:sz w:val="11"/>
              </w:rPr>
              <w:t>Jerome- United Verde</w:t>
            </w:r>
          </w:p>
        </w:tc>
        <w:tc>
          <w:tcPr>
            <w:tcW w:w="860" w:type="dxa"/>
          </w:tcPr>
          <w:p>
            <w:pPr>
              <w:pStyle w:val="TableParagraph"/>
              <w:ind w:left="113"/>
              <w:rPr>
                <w:sz w:val="11"/>
              </w:rPr>
            </w:pPr>
            <w:r>
              <w:rPr>
                <w:color w:val="231F20"/>
                <w:w w:val="105"/>
                <w:sz w:val="11"/>
              </w:rPr>
              <w:t>USA</w:t>
            </w:r>
          </w:p>
        </w:tc>
        <w:tc>
          <w:tcPr>
            <w:tcW w:w="1652" w:type="dxa"/>
          </w:tcPr>
          <w:p>
            <w:pPr>
              <w:pStyle w:val="TableParagraph"/>
              <w:ind w:left="105"/>
              <w:rPr>
                <w:sz w:val="11"/>
              </w:rPr>
            </w:pPr>
            <w:r>
              <w:rPr>
                <w:color w:val="231F20"/>
                <w:w w:val="105"/>
                <w:sz w:val="11"/>
              </w:rPr>
              <w:t>Yavapai</w:t>
            </w:r>
          </w:p>
        </w:tc>
        <w:tc>
          <w:tcPr>
            <w:tcW w:w="910" w:type="dxa"/>
          </w:tcPr>
          <w:p>
            <w:pPr>
              <w:pStyle w:val="TableParagraph"/>
              <w:ind w:right="177"/>
              <w:jc w:val="right"/>
              <w:rPr>
                <w:sz w:val="11"/>
              </w:rPr>
            </w:pPr>
            <w:r>
              <w:rPr>
                <w:color w:val="231F20"/>
                <w:w w:val="105"/>
                <w:sz w:val="11"/>
              </w:rPr>
              <w:t>30.00</w:t>
            </w:r>
          </w:p>
        </w:tc>
        <w:tc>
          <w:tcPr>
            <w:tcW w:w="364" w:type="dxa"/>
          </w:tcPr>
          <w:p>
            <w:pPr>
              <w:pStyle w:val="TableParagraph"/>
              <w:ind w:right="16"/>
              <w:jc w:val="right"/>
              <w:rPr>
                <w:sz w:val="11"/>
              </w:rPr>
            </w:pPr>
            <w:r>
              <w:rPr>
                <w:color w:val="231F20"/>
                <w:w w:val="105"/>
                <w:sz w:val="11"/>
              </w:rPr>
              <w:t>4.8</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0.2</w:t>
            </w:r>
          </w:p>
        </w:tc>
        <w:tc>
          <w:tcPr>
            <w:tcW w:w="398" w:type="dxa"/>
          </w:tcPr>
          <w:p>
            <w:pPr>
              <w:pStyle w:val="TableParagraph"/>
              <w:ind w:right="37"/>
              <w:jc w:val="right"/>
              <w:rPr>
                <w:sz w:val="11"/>
              </w:rPr>
            </w:pPr>
            <w:r>
              <w:rPr>
                <w:color w:val="231F20"/>
                <w:w w:val="105"/>
                <w:sz w:val="11"/>
              </w:rPr>
              <w:t>1.37</w:t>
            </w:r>
          </w:p>
        </w:tc>
        <w:tc>
          <w:tcPr>
            <w:tcW w:w="464" w:type="dxa"/>
          </w:tcPr>
          <w:p>
            <w:pPr>
              <w:pStyle w:val="TableParagraph"/>
              <w:ind w:left="77" w:right="54"/>
              <w:jc w:val="center"/>
              <w:rPr>
                <w:sz w:val="11"/>
              </w:rPr>
            </w:pPr>
            <w:r>
              <w:rPr>
                <w:color w:val="231F20"/>
                <w:w w:val="105"/>
                <w:sz w:val="11"/>
              </w:rPr>
              <w:t>49.70</w:t>
            </w:r>
          </w:p>
        </w:tc>
        <w:tc>
          <w:tcPr>
            <w:tcW w:w="826" w:type="dxa"/>
          </w:tcPr>
          <w:p>
            <w:pPr>
              <w:pStyle w:val="TableParagraph"/>
              <w:ind w:left="45" w:right="10"/>
              <w:jc w:val="center"/>
              <w:rPr>
                <w:sz w:val="11"/>
              </w:rPr>
            </w:pPr>
            <w:r>
              <w:rPr>
                <w:color w:val="231F20"/>
                <w:w w:val="105"/>
                <w:sz w:val="11"/>
              </w:rPr>
              <w:t>1800</w:t>
            </w:r>
          </w:p>
        </w:tc>
      </w:tr>
      <w:tr>
        <w:trPr>
          <w:trHeight w:val="146" w:hRule="atLeast"/>
        </w:trPr>
        <w:tc>
          <w:tcPr>
            <w:tcW w:w="1537" w:type="dxa"/>
          </w:tcPr>
          <w:p>
            <w:pPr>
              <w:pStyle w:val="TableParagraph"/>
              <w:ind w:left="22"/>
              <w:rPr>
                <w:sz w:val="11"/>
              </w:rPr>
            </w:pPr>
            <w:r>
              <w:rPr>
                <w:color w:val="231F20"/>
                <w:w w:val="105"/>
                <w:sz w:val="11"/>
              </w:rPr>
              <w:t>Bald Mountain</w:t>
            </w:r>
          </w:p>
        </w:tc>
        <w:tc>
          <w:tcPr>
            <w:tcW w:w="860" w:type="dxa"/>
          </w:tcPr>
          <w:p>
            <w:pPr>
              <w:pStyle w:val="TableParagraph"/>
              <w:ind w:left="113"/>
              <w:rPr>
                <w:sz w:val="11"/>
              </w:rPr>
            </w:pPr>
            <w:r>
              <w:rPr>
                <w:color w:val="231F20"/>
                <w:w w:val="105"/>
                <w:sz w:val="11"/>
              </w:rPr>
              <w:t>USA</w:t>
            </w:r>
          </w:p>
        </w:tc>
        <w:tc>
          <w:tcPr>
            <w:tcW w:w="1652" w:type="dxa"/>
          </w:tcPr>
          <w:p>
            <w:pPr>
              <w:pStyle w:val="TableParagraph"/>
              <w:ind w:left="105"/>
              <w:rPr>
                <w:sz w:val="11"/>
              </w:rPr>
            </w:pPr>
            <w:r>
              <w:rPr>
                <w:color w:val="231F20"/>
                <w:w w:val="105"/>
                <w:sz w:val="11"/>
              </w:rPr>
              <w:t>Appalachian</w:t>
            </w:r>
          </w:p>
        </w:tc>
        <w:tc>
          <w:tcPr>
            <w:tcW w:w="910" w:type="dxa"/>
          </w:tcPr>
          <w:p>
            <w:pPr>
              <w:pStyle w:val="TableParagraph"/>
              <w:ind w:right="177"/>
              <w:jc w:val="right"/>
              <w:rPr>
                <w:sz w:val="11"/>
              </w:rPr>
            </w:pPr>
            <w:r>
              <w:rPr>
                <w:color w:val="231F20"/>
                <w:w w:val="105"/>
                <w:sz w:val="11"/>
              </w:rPr>
              <w:t>29.98</w:t>
            </w:r>
          </w:p>
        </w:tc>
        <w:tc>
          <w:tcPr>
            <w:tcW w:w="364" w:type="dxa"/>
          </w:tcPr>
          <w:p>
            <w:pPr>
              <w:pStyle w:val="TableParagraph"/>
              <w:ind w:right="17"/>
              <w:jc w:val="right"/>
              <w:rPr>
                <w:sz w:val="11"/>
              </w:rPr>
            </w:pPr>
            <w:r>
              <w:rPr>
                <w:color w:val="231F20"/>
                <w:w w:val="105"/>
                <w:sz w:val="11"/>
              </w:rPr>
              <w:t>1.03</w:t>
            </w:r>
          </w:p>
        </w:tc>
        <w:tc>
          <w:tcPr>
            <w:tcW w:w="426" w:type="dxa"/>
          </w:tcPr>
          <w:p>
            <w:pPr>
              <w:pStyle w:val="TableParagraph"/>
              <w:ind w:right="111"/>
              <w:jc w:val="right"/>
              <w:rPr>
                <w:sz w:val="11"/>
              </w:rPr>
            </w:pPr>
            <w:r>
              <w:rPr>
                <w:color w:val="231F20"/>
                <w:w w:val="105"/>
                <w:sz w:val="11"/>
              </w:rPr>
              <w:t>&lt;0.05</w:t>
            </w:r>
          </w:p>
        </w:tc>
        <w:tc>
          <w:tcPr>
            <w:tcW w:w="357" w:type="dxa"/>
          </w:tcPr>
          <w:p>
            <w:pPr>
              <w:pStyle w:val="TableParagraph"/>
              <w:ind w:right="60"/>
              <w:jc w:val="right"/>
              <w:rPr>
                <w:sz w:val="11"/>
              </w:rPr>
            </w:pPr>
            <w:r>
              <w:rPr>
                <w:color w:val="231F20"/>
                <w:w w:val="105"/>
                <w:sz w:val="11"/>
              </w:rPr>
              <w:t>1.12</w:t>
            </w:r>
          </w:p>
        </w:tc>
        <w:tc>
          <w:tcPr>
            <w:tcW w:w="398" w:type="dxa"/>
          </w:tcPr>
          <w:p>
            <w:pPr>
              <w:pStyle w:val="TableParagraph"/>
              <w:ind w:right="37"/>
              <w:jc w:val="right"/>
              <w:rPr>
                <w:sz w:val="11"/>
              </w:rPr>
            </w:pPr>
            <w:r>
              <w:rPr>
                <w:color w:val="231F20"/>
                <w:w w:val="105"/>
                <w:sz w:val="11"/>
              </w:rPr>
              <w:t>0.51</w:t>
            </w:r>
          </w:p>
        </w:tc>
        <w:tc>
          <w:tcPr>
            <w:tcW w:w="464" w:type="dxa"/>
          </w:tcPr>
          <w:p>
            <w:pPr>
              <w:pStyle w:val="TableParagraph"/>
              <w:ind w:left="77" w:right="54"/>
              <w:jc w:val="center"/>
              <w:rPr>
                <w:sz w:val="11"/>
              </w:rPr>
            </w:pPr>
            <w:r>
              <w:rPr>
                <w:color w:val="231F20"/>
                <w:w w:val="105"/>
                <w:sz w:val="11"/>
              </w:rPr>
              <w:t>14.40</w:t>
            </w:r>
          </w:p>
        </w:tc>
        <w:tc>
          <w:tcPr>
            <w:tcW w:w="826" w:type="dxa"/>
          </w:tcPr>
          <w:p>
            <w:pPr>
              <w:pStyle w:val="TableParagraph"/>
              <w:ind w:left="45" w:right="10"/>
              <w:jc w:val="center"/>
              <w:rPr>
                <w:sz w:val="11"/>
              </w:rPr>
            </w:pPr>
            <w:r>
              <w:rPr>
                <w:color w:val="231F20"/>
                <w:w w:val="105"/>
                <w:sz w:val="11"/>
              </w:rPr>
              <w:t>430</w:t>
            </w:r>
          </w:p>
        </w:tc>
      </w:tr>
      <w:tr>
        <w:trPr>
          <w:trHeight w:val="146" w:hRule="atLeast"/>
        </w:trPr>
        <w:tc>
          <w:tcPr>
            <w:tcW w:w="1537" w:type="dxa"/>
          </w:tcPr>
          <w:p>
            <w:pPr>
              <w:pStyle w:val="TableParagraph"/>
              <w:ind w:left="22"/>
              <w:rPr>
                <w:sz w:val="11"/>
              </w:rPr>
            </w:pPr>
            <w:r>
              <w:rPr>
                <w:color w:val="231F20"/>
                <w:w w:val="105"/>
                <w:sz w:val="11"/>
              </w:rPr>
              <w:t>Besshi</w:t>
            </w:r>
          </w:p>
        </w:tc>
        <w:tc>
          <w:tcPr>
            <w:tcW w:w="860" w:type="dxa"/>
          </w:tcPr>
          <w:p>
            <w:pPr>
              <w:pStyle w:val="TableParagraph"/>
              <w:ind w:left="113"/>
              <w:rPr>
                <w:sz w:val="11"/>
              </w:rPr>
            </w:pPr>
            <w:r>
              <w:rPr>
                <w:color w:val="231F20"/>
                <w:w w:val="105"/>
                <w:sz w:val="11"/>
              </w:rPr>
              <w:t>Japan</w:t>
            </w:r>
          </w:p>
        </w:tc>
        <w:tc>
          <w:tcPr>
            <w:tcW w:w="1652" w:type="dxa"/>
          </w:tcPr>
          <w:p>
            <w:pPr>
              <w:pStyle w:val="TableParagraph"/>
              <w:ind w:left="105"/>
              <w:rPr>
                <w:sz w:val="11"/>
              </w:rPr>
            </w:pPr>
            <w:r>
              <w:rPr>
                <w:color w:val="231F20"/>
                <w:w w:val="105"/>
                <w:sz w:val="11"/>
              </w:rPr>
              <w:t>Japan arcs(Tethyan)</w:t>
            </w:r>
          </w:p>
        </w:tc>
        <w:tc>
          <w:tcPr>
            <w:tcW w:w="910" w:type="dxa"/>
          </w:tcPr>
          <w:p>
            <w:pPr>
              <w:pStyle w:val="TableParagraph"/>
              <w:ind w:right="177"/>
              <w:jc w:val="right"/>
              <w:rPr>
                <w:sz w:val="11"/>
              </w:rPr>
            </w:pPr>
            <w:r>
              <w:rPr>
                <w:color w:val="231F20"/>
                <w:w w:val="105"/>
                <w:sz w:val="11"/>
              </w:rPr>
              <w:t>29.95</w:t>
            </w:r>
          </w:p>
        </w:tc>
        <w:tc>
          <w:tcPr>
            <w:tcW w:w="364" w:type="dxa"/>
          </w:tcPr>
          <w:p>
            <w:pPr>
              <w:pStyle w:val="TableParagraph"/>
              <w:ind w:right="17"/>
              <w:jc w:val="right"/>
              <w:rPr>
                <w:sz w:val="11"/>
              </w:rPr>
            </w:pPr>
            <w:r>
              <w:rPr>
                <w:color w:val="231F20"/>
                <w:w w:val="105"/>
                <w:sz w:val="11"/>
              </w:rPr>
              <w:t>2.6</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0.3</w:t>
            </w:r>
          </w:p>
        </w:tc>
        <w:tc>
          <w:tcPr>
            <w:tcW w:w="398" w:type="dxa"/>
          </w:tcPr>
          <w:p>
            <w:pPr>
              <w:pStyle w:val="TableParagraph"/>
              <w:ind w:right="37"/>
              <w:jc w:val="right"/>
              <w:rPr>
                <w:sz w:val="11"/>
              </w:rPr>
            </w:pPr>
            <w:r>
              <w:rPr>
                <w:color w:val="231F20"/>
                <w:w w:val="105"/>
                <w:sz w:val="11"/>
              </w:rPr>
              <w:t>0.70</w:t>
            </w:r>
          </w:p>
        </w:tc>
        <w:tc>
          <w:tcPr>
            <w:tcW w:w="464" w:type="dxa"/>
          </w:tcPr>
          <w:p>
            <w:pPr>
              <w:pStyle w:val="TableParagraph"/>
              <w:ind w:left="77" w:right="54"/>
              <w:jc w:val="center"/>
              <w:rPr>
                <w:sz w:val="11"/>
              </w:rPr>
            </w:pPr>
            <w:r>
              <w:rPr>
                <w:color w:val="231F20"/>
                <w:w w:val="105"/>
                <w:sz w:val="11"/>
              </w:rPr>
              <w:t>21.00</w:t>
            </w:r>
          </w:p>
        </w:tc>
        <w:tc>
          <w:tcPr>
            <w:tcW w:w="826" w:type="dxa"/>
          </w:tcPr>
          <w:p>
            <w:pPr>
              <w:pStyle w:val="TableParagraph"/>
              <w:ind w:left="45" w:right="10"/>
              <w:jc w:val="center"/>
              <w:rPr>
                <w:sz w:val="11"/>
              </w:rPr>
            </w:pPr>
            <w:r>
              <w:rPr>
                <w:color w:val="231F20"/>
                <w:w w:val="105"/>
                <w:sz w:val="11"/>
              </w:rPr>
              <w:t>210</w:t>
            </w:r>
          </w:p>
        </w:tc>
      </w:tr>
      <w:tr>
        <w:trPr>
          <w:trHeight w:val="146" w:hRule="atLeast"/>
        </w:trPr>
        <w:tc>
          <w:tcPr>
            <w:tcW w:w="1537" w:type="dxa"/>
          </w:tcPr>
          <w:p>
            <w:pPr>
              <w:pStyle w:val="TableParagraph"/>
              <w:ind w:left="22"/>
              <w:rPr>
                <w:sz w:val="11"/>
              </w:rPr>
            </w:pPr>
            <w:r>
              <w:rPr>
                <w:color w:val="ED2024"/>
                <w:w w:val="105"/>
                <w:sz w:val="11"/>
              </w:rPr>
              <w:t>Selbaie</w:t>
            </w:r>
          </w:p>
        </w:tc>
        <w:tc>
          <w:tcPr>
            <w:tcW w:w="860" w:type="dxa"/>
          </w:tcPr>
          <w:p>
            <w:pPr>
              <w:pStyle w:val="TableParagraph"/>
              <w:ind w:left="113"/>
              <w:rPr>
                <w:sz w:val="11"/>
              </w:rPr>
            </w:pPr>
            <w:r>
              <w:rPr>
                <w:color w:val="ED2024"/>
                <w:w w:val="105"/>
                <w:sz w:val="11"/>
              </w:rPr>
              <w:t>Canada</w:t>
            </w:r>
          </w:p>
        </w:tc>
        <w:tc>
          <w:tcPr>
            <w:tcW w:w="1652" w:type="dxa"/>
          </w:tcPr>
          <w:p>
            <w:pPr>
              <w:pStyle w:val="TableParagraph"/>
              <w:ind w:left="105"/>
              <w:rPr>
                <w:sz w:val="11"/>
              </w:rPr>
            </w:pPr>
            <w:r>
              <w:rPr>
                <w:color w:val="ED2024"/>
                <w:w w:val="105"/>
                <w:sz w:val="11"/>
              </w:rPr>
              <w:t>Abitibi (Kenoran)</w:t>
            </w:r>
          </w:p>
        </w:tc>
        <w:tc>
          <w:tcPr>
            <w:tcW w:w="910" w:type="dxa"/>
          </w:tcPr>
          <w:p>
            <w:pPr>
              <w:pStyle w:val="TableParagraph"/>
              <w:ind w:right="177"/>
              <w:jc w:val="right"/>
              <w:rPr>
                <w:sz w:val="11"/>
              </w:rPr>
            </w:pPr>
            <w:r>
              <w:rPr>
                <w:color w:val="ED2024"/>
                <w:w w:val="105"/>
                <w:sz w:val="11"/>
              </w:rPr>
              <w:t>29.90</w:t>
            </w:r>
          </w:p>
        </w:tc>
        <w:tc>
          <w:tcPr>
            <w:tcW w:w="364" w:type="dxa"/>
          </w:tcPr>
          <w:p>
            <w:pPr>
              <w:pStyle w:val="TableParagraph"/>
              <w:ind w:right="17"/>
              <w:jc w:val="right"/>
              <w:rPr>
                <w:sz w:val="11"/>
              </w:rPr>
            </w:pPr>
            <w:r>
              <w:rPr>
                <w:color w:val="ED2024"/>
                <w:w w:val="105"/>
                <w:sz w:val="11"/>
              </w:rPr>
              <w:t>1.21</w:t>
            </w:r>
          </w:p>
        </w:tc>
        <w:tc>
          <w:tcPr>
            <w:tcW w:w="426" w:type="dxa"/>
          </w:tcPr>
          <w:p>
            <w:pPr>
              <w:pStyle w:val="TableParagraph"/>
              <w:spacing w:line="240" w:lineRule="auto" w:before="0"/>
              <w:rPr>
                <w:rFonts w:ascii="Times New Roman"/>
                <w:sz w:val="8"/>
              </w:rPr>
            </w:pPr>
          </w:p>
        </w:tc>
        <w:tc>
          <w:tcPr>
            <w:tcW w:w="357" w:type="dxa"/>
          </w:tcPr>
          <w:p>
            <w:pPr>
              <w:pStyle w:val="TableParagraph"/>
              <w:ind w:right="61"/>
              <w:jc w:val="right"/>
              <w:rPr>
                <w:sz w:val="11"/>
              </w:rPr>
            </w:pPr>
            <w:r>
              <w:rPr>
                <w:color w:val="ED2024"/>
                <w:w w:val="105"/>
                <w:sz w:val="11"/>
              </w:rPr>
              <w:t>1.91</w:t>
            </w:r>
          </w:p>
        </w:tc>
        <w:tc>
          <w:tcPr>
            <w:tcW w:w="398" w:type="dxa"/>
          </w:tcPr>
          <w:p>
            <w:pPr>
              <w:pStyle w:val="TableParagraph"/>
              <w:ind w:right="37"/>
              <w:jc w:val="right"/>
              <w:rPr>
                <w:sz w:val="11"/>
              </w:rPr>
            </w:pPr>
            <w:r>
              <w:rPr>
                <w:color w:val="ED2024"/>
                <w:w w:val="105"/>
                <w:sz w:val="11"/>
              </w:rPr>
              <w:t>0.63</w:t>
            </w:r>
          </w:p>
        </w:tc>
        <w:tc>
          <w:tcPr>
            <w:tcW w:w="464" w:type="dxa"/>
          </w:tcPr>
          <w:p>
            <w:pPr>
              <w:pStyle w:val="TableParagraph"/>
              <w:ind w:left="77" w:right="54"/>
              <w:jc w:val="center"/>
              <w:rPr>
                <w:sz w:val="11"/>
              </w:rPr>
            </w:pPr>
            <w:r>
              <w:rPr>
                <w:color w:val="ED2024"/>
                <w:w w:val="105"/>
                <w:sz w:val="11"/>
              </w:rPr>
              <w:t>37.02</w:t>
            </w:r>
          </w:p>
        </w:tc>
        <w:tc>
          <w:tcPr>
            <w:tcW w:w="826" w:type="dxa"/>
          </w:tcPr>
          <w:p>
            <w:pPr>
              <w:pStyle w:val="TableParagraph"/>
              <w:ind w:left="44" w:right="10"/>
              <w:jc w:val="center"/>
              <w:rPr>
                <w:sz w:val="11"/>
              </w:rPr>
            </w:pPr>
            <w:r>
              <w:rPr>
                <w:color w:val="ED2024"/>
                <w:w w:val="105"/>
                <w:sz w:val="11"/>
              </w:rPr>
              <w:t>2730</w:t>
            </w:r>
          </w:p>
        </w:tc>
      </w:tr>
      <w:tr>
        <w:trPr>
          <w:trHeight w:val="146" w:hRule="atLeast"/>
        </w:trPr>
        <w:tc>
          <w:tcPr>
            <w:tcW w:w="1537" w:type="dxa"/>
          </w:tcPr>
          <w:p>
            <w:pPr>
              <w:pStyle w:val="TableParagraph"/>
              <w:ind w:left="22"/>
              <w:rPr>
                <w:sz w:val="11"/>
              </w:rPr>
            </w:pPr>
            <w:r>
              <w:rPr>
                <w:color w:val="ED2024"/>
                <w:w w:val="105"/>
                <w:sz w:val="11"/>
              </w:rPr>
              <w:t>Myra Falls Group</w:t>
            </w:r>
          </w:p>
        </w:tc>
        <w:tc>
          <w:tcPr>
            <w:tcW w:w="860" w:type="dxa"/>
          </w:tcPr>
          <w:p>
            <w:pPr>
              <w:pStyle w:val="TableParagraph"/>
              <w:ind w:left="113"/>
              <w:rPr>
                <w:sz w:val="11"/>
              </w:rPr>
            </w:pPr>
            <w:r>
              <w:rPr>
                <w:color w:val="ED2024"/>
                <w:w w:val="105"/>
                <w:sz w:val="11"/>
              </w:rPr>
              <w:t>Canada</w:t>
            </w:r>
          </w:p>
        </w:tc>
        <w:tc>
          <w:tcPr>
            <w:tcW w:w="1652" w:type="dxa"/>
          </w:tcPr>
          <w:p>
            <w:pPr>
              <w:pStyle w:val="TableParagraph"/>
              <w:ind w:left="105"/>
              <w:rPr>
                <w:sz w:val="11"/>
              </w:rPr>
            </w:pPr>
            <w:r>
              <w:rPr>
                <w:color w:val="ED2024"/>
                <w:w w:val="105"/>
                <w:sz w:val="11"/>
              </w:rPr>
              <w:t>N.Cordilleran</w:t>
            </w:r>
          </w:p>
        </w:tc>
        <w:tc>
          <w:tcPr>
            <w:tcW w:w="910" w:type="dxa"/>
          </w:tcPr>
          <w:p>
            <w:pPr>
              <w:pStyle w:val="TableParagraph"/>
              <w:ind w:right="177"/>
              <w:jc w:val="right"/>
              <w:rPr>
                <w:sz w:val="11"/>
              </w:rPr>
            </w:pPr>
            <w:r>
              <w:rPr>
                <w:color w:val="ED2024"/>
                <w:w w:val="105"/>
                <w:sz w:val="11"/>
              </w:rPr>
              <w:t>29.32</w:t>
            </w:r>
          </w:p>
        </w:tc>
        <w:tc>
          <w:tcPr>
            <w:tcW w:w="364" w:type="dxa"/>
          </w:tcPr>
          <w:p>
            <w:pPr>
              <w:pStyle w:val="TableParagraph"/>
              <w:ind w:right="17"/>
              <w:jc w:val="right"/>
              <w:rPr>
                <w:sz w:val="11"/>
              </w:rPr>
            </w:pPr>
            <w:r>
              <w:rPr>
                <w:color w:val="ED2024"/>
                <w:w w:val="105"/>
                <w:sz w:val="11"/>
              </w:rPr>
              <w:t>1.83</w:t>
            </w:r>
          </w:p>
        </w:tc>
        <w:tc>
          <w:tcPr>
            <w:tcW w:w="426" w:type="dxa"/>
          </w:tcPr>
          <w:p>
            <w:pPr>
              <w:pStyle w:val="TableParagraph"/>
              <w:ind w:right="59"/>
              <w:jc w:val="right"/>
              <w:rPr>
                <w:sz w:val="11"/>
              </w:rPr>
            </w:pPr>
            <w:r>
              <w:rPr>
                <w:color w:val="ED2024"/>
                <w:w w:val="105"/>
                <w:sz w:val="11"/>
              </w:rPr>
              <w:t>0.55</w:t>
            </w:r>
          </w:p>
        </w:tc>
        <w:tc>
          <w:tcPr>
            <w:tcW w:w="357" w:type="dxa"/>
          </w:tcPr>
          <w:p>
            <w:pPr>
              <w:pStyle w:val="TableParagraph"/>
              <w:ind w:right="60"/>
              <w:jc w:val="right"/>
              <w:rPr>
                <w:sz w:val="11"/>
              </w:rPr>
            </w:pPr>
            <w:r>
              <w:rPr>
                <w:color w:val="ED2024"/>
                <w:w w:val="105"/>
                <w:sz w:val="11"/>
              </w:rPr>
              <w:t>6.25</w:t>
            </w:r>
          </w:p>
        </w:tc>
        <w:tc>
          <w:tcPr>
            <w:tcW w:w="398" w:type="dxa"/>
          </w:tcPr>
          <w:p>
            <w:pPr>
              <w:pStyle w:val="TableParagraph"/>
              <w:ind w:right="37"/>
              <w:jc w:val="right"/>
              <w:rPr>
                <w:sz w:val="11"/>
              </w:rPr>
            </w:pPr>
            <w:r>
              <w:rPr>
                <w:color w:val="ED2024"/>
                <w:w w:val="105"/>
                <w:sz w:val="11"/>
              </w:rPr>
              <w:t>2.00</w:t>
            </w:r>
          </w:p>
        </w:tc>
        <w:tc>
          <w:tcPr>
            <w:tcW w:w="464" w:type="dxa"/>
          </w:tcPr>
          <w:p>
            <w:pPr>
              <w:pStyle w:val="TableParagraph"/>
              <w:ind w:left="77" w:right="54"/>
              <w:jc w:val="center"/>
              <w:rPr>
                <w:sz w:val="11"/>
              </w:rPr>
            </w:pPr>
            <w:r>
              <w:rPr>
                <w:color w:val="ED2024"/>
                <w:w w:val="105"/>
                <w:sz w:val="11"/>
              </w:rPr>
              <w:t>49.00</w:t>
            </w:r>
          </w:p>
        </w:tc>
        <w:tc>
          <w:tcPr>
            <w:tcW w:w="826" w:type="dxa"/>
          </w:tcPr>
          <w:p>
            <w:pPr>
              <w:pStyle w:val="TableParagraph"/>
              <w:ind w:left="45" w:right="10"/>
              <w:jc w:val="center"/>
              <w:rPr>
                <w:sz w:val="11"/>
              </w:rPr>
            </w:pPr>
            <w:r>
              <w:rPr>
                <w:color w:val="ED2024"/>
                <w:w w:val="105"/>
                <w:sz w:val="11"/>
              </w:rPr>
              <w:t>365</w:t>
            </w:r>
          </w:p>
        </w:tc>
      </w:tr>
      <w:tr>
        <w:trPr>
          <w:trHeight w:val="146" w:hRule="atLeast"/>
        </w:trPr>
        <w:tc>
          <w:tcPr>
            <w:tcW w:w="1537" w:type="dxa"/>
          </w:tcPr>
          <w:p>
            <w:pPr>
              <w:pStyle w:val="TableParagraph"/>
              <w:ind w:left="22"/>
              <w:rPr>
                <w:sz w:val="11"/>
              </w:rPr>
            </w:pPr>
            <w:r>
              <w:rPr>
                <w:color w:val="231F20"/>
                <w:w w:val="105"/>
                <w:sz w:val="11"/>
              </w:rPr>
              <w:t>Garpenberg (+Lappberget)</w:t>
            </w:r>
          </w:p>
        </w:tc>
        <w:tc>
          <w:tcPr>
            <w:tcW w:w="860" w:type="dxa"/>
          </w:tcPr>
          <w:p>
            <w:pPr>
              <w:pStyle w:val="TableParagraph"/>
              <w:ind w:left="113"/>
              <w:rPr>
                <w:sz w:val="11"/>
              </w:rPr>
            </w:pPr>
            <w:r>
              <w:rPr>
                <w:color w:val="231F20"/>
                <w:w w:val="105"/>
                <w:sz w:val="11"/>
              </w:rPr>
              <w:t>Sweden</w:t>
            </w:r>
          </w:p>
        </w:tc>
        <w:tc>
          <w:tcPr>
            <w:tcW w:w="1652" w:type="dxa"/>
          </w:tcPr>
          <w:p>
            <w:pPr>
              <w:pStyle w:val="TableParagraph"/>
              <w:ind w:left="105"/>
              <w:rPr>
                <w:sz w:val="11"/>
              </w:rPr>
            </w:pPr>
            <w:r>
              <w:rPr>
                <w:color w:val="231F20"/>
                <w:w w:val="105"/>
                <w:sz w:val="11"/>
              </w:rPr>
              <w:t>Svecokarelian</w:t>
            </w:r>
          </w:p>
        </w:tc>
        <w:tc>
          <w:tcPr>
            <w:tcW w:w="910" w:type="dxa"/>
          </w:tcPr>
          <w:p>
            <w:pPr>
              <w:pStyle w:val="TableParagraph"/>
              <w:ind w:right="177"/>
              <w:jc w:val="right"/>
              <w:rPr>
                <w:sz w:val="11"/>
              </w:rPr>
            </w:pPr>
            <w:r>
              <w:rPr>
                <w:color w:val="231F20"/>
                <w:w w:val="105"/>
                <w:sz w:val="11"/>
              </w:rPr>
              <w:t>29.00</w:t>
            </w:r>
          </w:p>
        </w:tc>
        <w:tc>
          <w:tcPr>
            <w:tcW w:w="364" w:type="dxa"/>
          </w:tcPr>
          <w:p>
            <w:pPr>
              <w:pStyle w:val="TableParagraph"/>
              <w:ind w:right="17"/>
              <w:jc w:val="right"/>
              <w:rPr>
                <w:sz w:val="11"/>
              </w:rPr>
            </w:pPr>
            <w:r>
              <w:rPr>
                <w:color w:val="231F20"/>
                <w:w w:val="105"/>
                <w:sz w:val="11"/>
              </w:rPr>
              <w:t>0.3</w:t>
            </w:r>
          </w:p>
        </w:tc>
        <w:tc>
          <w:tcPr>
            <w:tcW w:w="426" w:type="dxa"/>
          </w:tcPr>
          <w:p>
            <w:pPr>
              <w:pStyle w:val="TableParagraph"/>
              <w:ind w:right="59"/>
              <w:jc w:val="right"/>
              <w:rPr>
                <w:sz w:val="11"/>
              </w:rPr>
            </w:pPr>
            <w:r>
              <w:rPr>
                <w:color w:val="231F20"/>
                <w:w w:val="105"/>
                <w:sz w:val="11"/>
              </w:rPr>
              <w:t>3.3</w:t>
            </w:r>
          </w:p>
        </w:tc>
        <w:tc>
          <w:tcPr>
            <w:tcW w:w="357" w:type="dxa"/>
          </w:tcPr>
          <w:p>
            <w:pPr>
              <w:pStyle w:val="TableParagraph"/>
              <w:ind w:right="60"/>
              <w:jc w:val="right"/>
              <w:rPr>
                <w:sz w:val="11"/>
              </w:rPr>
            </w:pPr>
            <w:r>
              <w:rPr>
                <w:color w:val="231F20"/>
                <w:w w:val="105"/>
                <w:sz w:val="11"/>
              </w:rPr>
              <w:t>5.3</w:t>
            </w:r>
          </w:p>
        </w:tc>
        <w:tc>
          <w:tcPr>
            <w:tcW w:w="398" w:type="dxa"/>
          </w:tcPr>
          <w:p>
            <w:pPr>
              <w:pStyle w:val="TableParagraph"/>
              <w:ind w:right="37"/>
              <w:jc w:val="right"/>
              <w:rPr>
                <w:sz w:val="11"/>
              </w:rPr>
            </w:pPr>
            <w:r>
              <w:rPr>
                <w:color w:val="231F20"/>
                <w:w w:val="105"/>
                <w:sz w:val="11"/>
              </w:rPr>
              <w:t>0.65</w:t>
            </w:r>
          </w:p>
        </w:tc>
        <w:tc>
          <w:tcPr>
            <w:tcW w:w="464" w:type="dxa"/>
          </w:tcPr>
          <w:p>
            <w:pPr>
              <w:pStyle w:val="TableParagraph"/>
              <w:ind w:left="76" w:right="54"/>
              <w:jc w:val="center"/>
              <w:rPr>
                <w:sz w:val="11"/>
              </w:rPr>
            </w:pPr>
            <w:r>
              <w:rPr>
                <w:color w:val="231F20"/>
                <w:w w:val="105"/>
                <w:sz w:val="11"/>
              </w:rPr>
              <w:t>98.00</w:t>
            </w:r>
          </w:p>
        </w:tc>
        <w:tc>
          <w:tcPr>
            <w:tcW w:w="826" w:type="dxa"/>
          </w:tcPr>
          <w:p>
            <w:pPr>
              <w:pStyle w:val="TableParagraph"/>
              <w:ind w:left="44" w:right="10"/>
              <w:jc w:val="center"/>
              <w:rPr>
                <w:sz w:val="11"/>
              </w:rPr>
            </w:pPr>
            <w:r>
              <w:rPr>
                <w:color w:val="231F20"/>
                <w:w w:val="105"/>
                <w:sz w:val="11"/>
              </w:rPr>
              <w:t>1890</w:t>
            </w:r>
          </w:p>
        </w:tc>
      </w:tr>
      <w:tr>
        <w:trPr>
          <w:trHeight w:val="146" w:hRule="atLeast"/>
        </w:trPr>
        <w:tc>
          <w:tcPr>
            <w:tcW w:w="1537" w:type="dxa"/>
          </w:tcPr>
          <w:p>
            <w:pPr>
              <w:pStyle w:val="TableParagraph"/>
              <w:ind w:left="22"/>
              <w:rPr>
                <w:sz w:val="11"/>
              </w:rPr>
            </w:pPr>
            <w:r>
              <w:rPr>
                <w:color w:val="231F20"/>
                <w:w w:val="105"/>
                <w:sz w:val="11"/>
              </w:rPr>
              <w:t>Bisha</w:t>
            </w:r>
          </w:p>
        </w:tc>
        <w:tc>
          <w:tcPr>
            <w:tcW w:w="860" w:type="dxa"/>
          </w:tcPr>
          <w:p>
            <w:pPr>
              <w:pStyle w:val="TableParagraph"/>
              <w:ind w:left="113"/>
              <w:rPr>
                <w:sz w:val="11"/>
              </w:rPr>
            </w:pPr>
            <w:r>
              <w:rPr>
                <w:color w:val="231F20"/>
                <w:w w:val="105"/>
                <w:sz w:val="11"/>
              </w:rPr>
              <w:t>Eritrea</w:t>
            </w:r>
          </w:p>
        </w:tc>
        <w:tc>
          <w:tcPr>
            <w:tcW w:w="1652" w:type="dxa"/>
          </w:tcPr>
          <w:p>
            <w:pPr>
              <w:pStyle w:val="TableParagraph"/>
              <w:ind w:left="105"/>
              <w:rPr>
                <w:sz w:val="11"/>
              </w:rPr>
            </w:pPr>
            <w:r>
              <w:rPr>
                <w:color w:val="231F20"/>
                <w:w w:val="105"/>
                <w:sz w:val="11"/>
              </w:rPr>
              <w:t>Pan African</w:t>
            </w:r>
          </w:p>
        </w:tc>
        <w:tc>
          <w:tcPr>
            <w:tcW w:w="910" w:type="dxa"/>
          </w:tcPr>
          <w:p>
            <w:pPr>
              <w:pStyle w:val="TableParagraph"/>
              <w:ind w:right="177"/>
              <w:jc w:val="right"/>
              <w:rPr>
                <w:sz w:val="11"/>
              </w:rPr>
            </w:pPr>
            <w:r>
              <w:rPr>
                <w:color w:val="231F20"/>
                <w:w w:val="105"/>
                <w:sz w:val="11"/>
              </w:rPr>
              <w:t>28.60</w:t>
            </w:r>
          </w:p>
        </w:tc>
        <w:tc>
          <w:tcPr>
            <w:tcW w:w="364" w:type="dxa"/>
          </w:tcPr>
          <w:p>
            <w:pPr>
              <w:pStyle w:val="TableParagraph"/>
              <w:ind w:right="17"/>
              <w:jc w:val="right"/>
              <w:rPr>
                <w:sz w:val="11"/>
              </w:rPr>
            </w:pPr>
            <w:r>
              <w:rPr>
                <w:color w:val="231F20"/>
                <w:w w:val="105"/>
                <w:sz w:val="11"/>
              </w:rPr>
              <w:t>1.52</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4.63</w:t>
            </w:r>
          </w:p>
        </w:tc>
        <w:tc>
          <w:tcPr>
            <w:tcW w:w="398" w:type="dxa"/>
          </w:tcPr>
          <w:p>
            <w:pPr>
              <w:pStyle w:val="TableParagraph"/>
              <w:ind w:right="37"/>
              <w:jc w:val="right"/>
              <w:rPr>
                <w:sz w:val="11"/>
              </w:rPr>
            </w:pPr>
            <w:r>
              <w:rPr>
                <w:color w:val="231F20"/>
                <w:w w:val="105"/>
                <w:sz w:val="11"/>
              </w:rPr>
              <w:t>1.68</w:t>
            </w:r>
          </w:p>
        </w:tc>
        <w:tc>
          <w:tcPr>
            <w:tcW w:w="464" w:type="dxa"/>
          </w:tcPr>
          <w:p>
            <w:pPr>
              <w:pStyle w:val="TableParagraph"/>
              <w:ind w:left="77" w:right="54"/>
              <w:jc w:val="center"/>
              <w:rPr>
                <w:sz w:val="11"/>
              </w:rPr>
            </w:pPr>
            <w:r>
              <w:rPr>
                <w:color w:val="231F20"/>
                <w:w w:val="105"/>
                <w:sz w:val="11"/>
              </w:rPr>
              <w:t>46.80</w:t>
            </w:r>
          </w:p>
        </w:tc>
        <w:tc>
          <w:tcPr>
            <w:tcW w:w="826" w:type="dxa"/>
          </w:tcPr>
          <w:p>
            <w:pPr>
              <w:pStyle w:val="TableParagraph"/>
              <w:ind w:left="45" w:right="10"/>
              <w:jc w:val="center"/>
              <w:rPr>
                <w:sz w:val="11"/>
              </w:rPr>
            </w:pPr>
            <w:r>
              <w:rPr>
                <w:color w:val="231F20"/>
                <w:w w:val="105"/>
                <w:sz w:val="11"/>
              </w:rPr>
              <w:t>850</w:t>
            </w:r>
          </w:p>
        </w:tc>
      </w:tr>
      <w:tr>
        <w:trPr>
          <w:trHeight w:val="146" w:hRule="atLeast"/>
        </w:trPr>
        <w:tc>
          <w:tcPr>
            <w:tcW w:w="1537" w:type="dxa"/>
          </w:tcPr>
          <w:p>
            <w:pPr>
              <w:pStyle w:val="TableParagraph"/>
              <w:ind w:left="22"/>
              <w:rPr>
                <w:sz w:val="11"/>
              </w:rPr>
            </w:pPr>
            <w:r>
              <w:rPr>
                <w:color w:val="231F20"/>
                <w:w w:val="105"/>
                <w:sz w:val="11"/>
              </w:rPr>
              <w:t>Vihanti</w:t>
            </w:r>
          </w:p>
        </w:tc>
        <w:tc>
          <w:tcPr>
            <w:tcW w:w="860" w:type="dxa"/>
          </w:tcPr>
          <w:p>
            <w:pPr>
              <w:pStyle w:val="TableParagraph"/>
              <w:ind w:left="113"/>
              <w:rPr>
                <w:sz w:val="11"/>
              </w:rPr>
            </w:pPr>
            <w:r>
              <w:rPr>
                <w:color w:val="231F20"/>
                <w:w w:val="105"/>
                <w:sz w:val="11"/>
              </w:rPr>
              <w:t>Finland</w:t>
            </w:r>
          </w:p>
        </w:tc>
        <w:tc>
          <w:tcPr>
            <w:tcW w:w="1652" w:type="dxa"/>
          </w:tcPr>
          <w:p>
            <w:pPr>
              <w:pStyle w:val="TableParagraph"/>
              <w:ind w:left="105"/>
              <w:rPr>
                <w:sz w:val="11"/>
              </w:rPr>
            </w:pPr>
            <w:r>
              <w:rPr>
                <w:color w:val="231F20"/>
                <w:w w:val="105"/>
                <w:sz w:val="11"/>
              </w:rPr>
              <w:t>Svecokarelian</w:t>
            </w:r>
          </w:p>
        </w:tc>
        <w:tc>
          <w:tcPr>
            <w:tcW w:w="910" w:type="dxa"/>
          </w:tcPr>
          <w:p>
            <w:pPr>
              <w:pStyle w:val="TableParagraph"/>
              <w:ind w:right="177"/>
              <w:jc w:val="right"/>
              <w:rPr>
                <w:sz w:val="11"/>
              </w:rPr>
            </w:pPr>
            <w:r>
              <w:rPr>
                <w:color w:val="231F20"/>
                <w:w w:val="105"/>
                <w:sz w:val="11"/>
              </w:rPr>
              <w:t>28.10</w:t>
            </w:r>
          </w:p>
        </w:tc>
        <w:tc>
          <w:tcPr>
            <w:tcW w:w="364" w:type="dxa"/>
          </w:tcPr>
          <w:p>
            <w:pPr>
              <w:pStyle w:val="TableParagraph"/>
              <w:ind w:right="17"/>
              <w:jc w:val="right"/>
              <w:rPr>
                <w:sz w:val="11"/>
              </w:rPr>
            </w:pPr>
            <w:r>
              <w:rPr>
                <w:color w:val="231F20"/>
                <w:w w:val="105"/>
                <w:sz w:val="11"/>
              </w:rPr>
              <w:t>0.48</w:t>
            </w:r>
          </w:p>
        </w:tc>
        <w:tc>
          <w:tcPr>
            <w:tcW w:w="426" w:type="dxa"/>
          </w:tcPr>
          <w:p>
            <w:pPr>
              <w:pStyle w:val="TableParagraph"/>
              <w:ind w:right="59"/>
              <w:jc w:val="right"/>
              <w:rPr>
                <w:sz w:val="11"/>
              </w:rPr>
            </w:pPr>
            <w:r>
              <w:rPr>
                <w:color w:val="231F20"/>
                <w:w w:val="105"/>
                <w:sz w:val="11"/>
              </w:rPr>
              <w:t>0.36</w:t>
            </w:r>
          </w:p>
        </w:tc>
        <w:tc>
          <w:tcPr>
            <w:tcW w:w="357" w:type="dxa"/>
          </w:tcPr>
          <w:p>
            <w:pPr>
              <w:pStyle w:val="TableParagraph"/>
              <w:ind w:right="60"/>
              <w:jc w:val="right"/>
              <w:rPr>
                <w:sz w:val="11"/>
              </w:rPr>
            </w:pPr>
            <w:r>
              <w:rPr>
                <w:color w:val="231F20"/>
                <w:w w:val="105"/>
                <w:sz w:val="11"/>
              </w:rPr>
              <w:t>5.12</w:t>
            </w:r>
          </w:p>
        </w:tc>
        <w:tc>
          <w:tcPr>
            <w:tcW w:w="398" w:type="dxa"/>
          </w:tcPr>
          <w:p>
            <w:pPr>
              <w:pStyle w:val="TableParagraph"/>
              <w:ind w:right="37"/>
              <w:jc w:val="right"/>
              <w:rPr>
                <w:sz w:val="11"/>
              </w:rPr>
            </w:pPr>
            <w:r>
              <w:rPr>
                <w:color w:val="231F20"/>
                <w:w w:val="105"/>
                <w:sz w:val="11"/>
              </w:rPr>
              <w:t>0.49</w:t>
            </w:r>
          </w:p>
        </w:tc>
        <w:tc>
          <w:tcPr>
            <w:tcW w:w="464" w:type="dxa"/>
          </w:tcPr>
          <w:p>
            <w:pPr>
              <w:pStyle w:val="TableParagraph"/>
              <w:ind w:left="77" w:right="54"/>
              <w:jc w:val="center"/>
              <w:rPr>
                <w:sz w:val="11"/>
              </w:rPr>
            </w:pPr>
            <w:r>
              <w:rPr>
                <w:color w:val="231F20"/>
                <w:w w:val="105"/>
                <w:sz w:val="11"/>
              </w:rPr>
              <w:t>25.00</w:t>
            </w:r>
          </w:p>
        </w:tc>
        <w:tc>
          <w:tcPr>
            <w:tcW w:w="826" w:type="dxa"/>
          </w:tcPr>
          <w:p>
            <w:pPr>
              <w:pStyle w:val="TableParagraph"/>
              <w:ind w:left="44" w:right="10"/>
              <w:jc w:val="center"/>
              <w:rPr>
                <w:sz w:val="11"/>
              </w:rPr>
            </w:pPr>
            <w:r>
              <w:rPr>
                <w:color w:val="231F20"/>
                <w:w w:val="105"/>
                <w:sz w:val="11"/>
              </w:rPr>
              <w:t>1910</w:t>
            </w:r>
          </w:p>
        </w:tc>
      </w:tr>
      <w:tr>
        <w:trPr>
          <w:trHeight w:val="146" w:hRule="atLeast"/>
        </w:trPr>
        <w:tc>
          <w:tcPr>
            <w:tcW w:w="1537" w:type="dxa"/>
          </w:tcPr>
          <w:p>
            <w:pPr>
              <w:pStyle w:val="TableParagraph"/>
              <w:spacing w:line="115" w:lineRule="exact"/>
              <w:ind w:left="22"/>
              <w:rPr>
                <w:sz w:val="11"/>
              </w:rPr>
            </w:pPr>
            <w:r>
              <w:rPr>
                <w:color w:val="231F20"/>
                <w:w w:val="105"/>
                <w:sz w:val="11"/>
              </w:rPr>
              <w:t>Falun</w:t>
            </w:r>
          </w:p>
        </w:tc>
        <w:tc>
          <w:tcPr>
            <w:tcW w:w="860" w:type="dxa"/>
          </w:tcPr>
          <w:p>
            <w:pPr>
              <w:pStyle w:val="TableParagraph"/>
              <w:spacing w:line="115" w:lineRule="exact"/>
              <w:ind w:left="113"/>
              <w:rPr>
                <w:sz w:val="11"/>
              </w:rPr>
            </w:pPr>
            <w:r>
              <w:rPr>
                <w:color w:val="231F20"/>
                <w:w w:val="105"/>
                <w:sz w:val="11"/>
              </w:rPr>
              <w:t>Sweden</w:t>
            </w:r>
          </w:p>
        </w:tc>
        <w:tc>
          <w:tcPr>
            <w:tcW w:w="1652" w:type="dxa"/>
          </w:tcPr>
          <w:p>
            <w:pPr>
              <w:pStyle w:val="TableParagraph"/>
              <w:spacing w:line="115" w:lineRule="exact"/>
              <w:ind w:left="105"/>
              <w:rPr>
                <w:sz w:val="11"/>
              </w:rPr>
            </w:pPr>
            <w:r>
              <w:rPr>
                <w:color w:val="231F20"/>
                <w:w w:val="105"/>
                <w:sz w:val="11"/>
              </w:rPr>
              <w:t>Svecokarelian</w:t>
            </w:r>
          </w:p>
        </w:tc>
        <w:tc>
          <w:tcPr>
            <w:tcW w:w="910" w:type="dxa"/>
          </w:tcPr>
          <w:p>
            <w:pPr>
              <w:pStyle w:val="TableParagraph"/>
              <w:spacing w:line="115" w:lineRule="exact"/>
              <w:ind w:right="177"/>
              <w:jc w:val="right"/>
              <w:rPr>
                <w:sz w:val="11"/>
              </w:rPr>
            </w:pPr>
            <w:r>
              <w:rPr>
                <w:color w:val="231F20"/>
                <w:w w:val="105"/>
                <w:sz w:val="11"/>
              </w:rPr>
              <w:t>28.10</w:t>
            </w:r>
          </w:p>
        </w:tc>
        <w:tc>
          <w:tcPr>
            <w:tcW w:w="364" w:type="dxa"/>
          </w:tcPr>
          <w:p>
            <w:pPr>
              <w:pStyle w:val="TableParagraph"/>
              <w:spacing w:line="115" w:lineRule="exact"/>
              <w:ind w:right="16"/>
              <w:jc w:val="right"/>
              <w:rPr>
                <w:sz w:val="11"/>
              </w:rPr>
            </w:pPr>
            <w:r>
              <w:rPr>
                <w:color w:val="231F20"/>
                <w:w w:val="106"/>
                <w:sz w:val="11"/>
              </w:rPr>
              <w:t>3</w:t>
            </w:r>
          </w:p>
        </w:tc>
        <w:tc>
          <w:tcPr>
            <w:tcW w:w="426" w:type="dxa"/>
          </w:tcPr>
          <w:p>
            <w:pPr>
              <w:pStyle w:val="TableParagraph"/>
              <w:spacing w:line="115" w:lineRule="exact"/>
              <w:ind w:right="59"/>
              <w:jc w:val="right"/>
              <w:rPr>
                <w:sz w:val="11"/>
              </w:rPr>
            </w:pPr>
            <w:r>
              <w:rPr>
                <w:color w:val="231F20"/>
                <w:w w:val="105"/>
                <w:sz w:val="11"/>
              </w:rPr>
              <w:t>1.5</w:t>
            </w:r>
          </w:p>
        </w:tc>
        <w:tc>
          <w:tcPr>
            <w:tcW w:w="357" w:type="dxa"/>
          </w:tcPr>
          <w:p>
            <w:pPr>
              <w:pStyle w:val="TableParagraph"/>
              <w:spacing w:line="115" w:lineRule="exact"/>
              <w:ind w:right="60"/>
              <w:jc w:val="right"/>
              <w:rPr>
                <w:sz w:val="11"/>
              </w:rPr>
            </w:pPr>
            <w:r>
              <w:rPr>
                <w:color w:val="231F20"/>
                <w:w w:val="106"/>
                <w:sz w:val="11"/>
              </w:rPr>
              <w:t>4</w:t>
            </w:r>
          </w:p>
        </w:tc>
        <w:tc>
          <w:tcPr>
            <w:tcW w:w="398" w:type="dxa"/>
          </w:tcPr>
          <w:p>
            <w:pPr>
              <w:pStyle w:val="TableParagraph"/>
              <w:spacing w:line="115" w:lineRule="exact"/>
              <w:ind w:right="37"/>
              <w:jc w:val="right"/>
              <w:rPr>
                <w:sz w:val="11"/>
              </w:rPr>
            </w:pPr>
            <w:r>
              <w:rPr>
                <w:color w:val="231F20"/>
                <w:w w:val="105"/>
                <w:sz w:val="11"/>
              </w:rPr>
              <w:t>3.00</w:t>
            </w:r>
          </w:p>
        </w:tc>
        <w:tc>
          <w:tcPr>
            <w:tcW w:w="464" w:type="dxa"/>
          </w:tcPr>
          <w:p>
            <w:pPr>
              <w:pStyle w:val="TableParagraph"/>
              <w:spacing w:line="115" w:lineRule="exact"/>
              <w:ind w:left="77" w:right="54"/>
              <w:jc w:val="center"/>
              <w:rPr>
                <w:sz w:val="11"/>
              </w:rPr>
            </w:pPr>
            <w:r>
              <w:rPr>
                <w:color w:val="231F20"/>
                <w:w w:val="105"/>
                <w:sz w:val="11"/>
              </w:rPr>
              <w:t>20.00</w:t>
            </w:r>
          </w:p>
        </w:tc>
        <w:tc>
          <w:tcPr>
            <w:tcW w:w="826" w:type="dxa"/>
          </w:tcPr>
          <w:p>
            <w:pPr>
              <w:pStyle w:val="TableParagraph"/>
              <w:spacing w:line="115" w:lineRule="exact"/>
              <w:ind w:left="44" w:right="10"/>
              <w:jc w:val="center"/>
              <w:rPr>
                <w:sz w:val="11"/>
              </w:rPr>
            </w:pPr>
            <w:r>
              <w:rPr>
                <w:color w:val="231F20"/>
                <w:w w:val="105"/>
                <w:sz w:val="11"/>
              </w:rPr>
              <w:t>1875</w:t>
            </w:r>
          </w:p>
        </w:tc>
      </w:tr>
      <w:tr>
        <w:trPr>
          <w:trHeight w:val="146" w:hRule="atLeast"/>
        </w:trPr>
        <w:tc>
          <w:tcPr>
            <w:tcW w:w="1537" w:type="dxa"/>
          </w:tcPr>
          <w:p>
            <w:pPr>
              <w:pStyle w:val="TableParagraph"/>
              <w:spacing w:line="115" w:lineRule="exact"/>
              <w:ind w:left="22"/>
              <w:rPr>
                <w:sz w:val="11"/>
              </w:rPr>
            </w:pPr>
            <w:r>
              <w:rPr>
                <w:color w:val="231F20"/>
                <w:w w:val="105"/>
                <w:sz w:val="11"/>
              </w:rPr>
              <w:t>Safyanovka</w:t>
            </w:r>
          </w:p>
        </w:tc>
        <w:tc>
          <w:tcPr>
            <w:tcW w:w="860" w:type="dxa"/>
          </w:tcPr>
          <w:p>
            <w:pPr>
              <w:pStyle w:val="TableParagraph"/>
              <w:ind w:left="114"/>
              <w:rPr>
                <w:sz w:val="11"/>
              </w:rPr>
            </w:pPr>
            <w:r>
              <w:rPr>
                <w:color w:val="231F20"/>
                <w:w w:val="105"/>
                <w:sz w:val="11"/>
              </w:rPr>
              <w:t>Russia</w:t>
            </w:r>
          </w:p>
        </w:tc>
        <w:tc>
          <w:tcPr>
            <w:tcW w:w="1652" w:type="dxa"/>
          </w:tcPr>
          <w:p>
            <w:pPr>
              <w:pStyle w:val="TableParagraph"/>
              <w:ind w:left="105"/>
              <w:rPr>
                <w:sz w:val="11"/>
              </w:rPr>
            </w:pPr>
            <w:r>
              <w:rPr>
                <w:color w:val="231F20"/>
                <w:w w:val="105"/>
                <w:sz w:val="11"/>
              </w:rPr>
              <w:t>Uralides (Hercynian)</w:t>
            </w:r>
          </w:p>
        </w:tc>
        <w:tc>
          <w:tcPr>
            <w:tcW w:w="910" w:type="dxa"/>
          </w:tcPr>
          <w:p>
            <w:pPr>
              <w:pStyle w:val="TableParagraph"/>
              <w:ind w:right="177"/>
              <w:jc w:val="right"/>
              <w:rPr>
                <w:sz w:val="11"/>
              </w:rPr>
            </w:pPr>
            <w:r>
              <w:rPr>
                <w:color w:val="231F20"/>
                <w:w w:val="105"/>
                <w:sz w:val="11"/>
              </w:rPr>
              <w:t>27.50</w:t>
            </w:r>
          </w:p>
        </w:tc>
        <w:tc>
          <w:tcPr>
            <w:tcW w:w="364" w:type="dxa"/>
          </w:tcPr>
          <w:p>
            <w:pPr>
              <w:pStyle w:val="TableParagraph"/>
              <w:ind w:right="16"/>
              <w:jc w:val="right"/>
              <w:rPr>
                <w:sz w:val="11"/>
              </w:rPr>
            </w:pPr>
            <w:r>
              <w:rPr>
                <w:color w:val="231F20"/>
                <w:w w:val="105"/>
                <w:sz w:val="11"/>
              </w:rPr>
              <w:t>3.04</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231F20"/>
                <w:w w:val="105"/>
                <w:sz w:val="11"/>
              </w:rPr>
              <w:t>1.4</w:t>
            </w:r>
          </w:p>
        </w:tc>
        <w:tc>
          <w:tcPr>
            <w:tcW w:w="398" w:type="dxa"/>
          </w:tcPr>
          <w:p>
            <w:pPr>
              <w:pStyle w:val="TableParagraph"/>
              <w:ind w:right="37"/>
              <w:jc w:val="right"/>
              <w:rPr>
                <w:sz w:val="11"/>
              </w:rPr>
            </w:pPr>
            <w:r>
              <w:rPr>
                <w:color w:val="231F20"/>
                <w:w w:val="105"/>
                <w:sz w:val="11"/>
              </w:rPr>
              <w:t>1.32</w:t>
            </w:r>
          </w:p>
        </w:tc>
        <w:tc>
          <w:tcPr>
            <w:tcW w:w="464" w:type="dxa"/>
          </w:tcPr>
          <w:p>
            <w:pPr>
              <w:pStyle w:val="TableParagraph"/>
              <w:ind w:left="77" w:right="54"/>
              <w:jc w:val="center"/>
              <w:rPr>
                <w:sz w:val="11"/>
              </w:rPr>
            </w:pPr>
            <w:r>
              <w:rPr>
                <w:color w:val="231F20"/>
                <w:w w:val="105"/>
                <w:sz w:val="11"/>
              </w:rPr>
              <w:t>25.00</w:t>
            </w:r>
          </w:p>
        </w:tc>
        <w:tc>
          <w:tcPr>
            <w:tcW w:w="826" w:type="dxa"/>
          </w:tcPr>
          <w:p>
            <w:pPr>
              <w:pStyle w:val="TableParagraph"/>
              <w:ind w:left="45" w:right="10"/>
              <w:jc w:val="center"/>
              <w:rPr>
                <w:sz w:val="11"/>
              </w:rPr>
            </w:pPr>
            <w:r>
              <w:rPr>
                <w:color w:val="231F20"/>
                <w:w w:val="105"/>
                <w:sz w:val="11"/>
              </w:rPr>
              <w:t>392</w:t>
            </w:r>
          </w:p>
        </w:tc>
      </w:tr>
      <w:tr>
        <w:trPr>
          <w:trHeight w:val="146" w:hRule="atLeast"/>
        </w:trPr>
        <w:tc>
          <w:tcPr>
            <w:tcW w:w="1537" w:type="dxa"/>
          </w:tcPr>
          <w:p>
            <w:pPr>
              <w:pStyle w:val="TableParagraph"/>
              <w:ind w:left="22"/>
              <w:rPr>
                <w:sz w:val="11"/>
              </w:rPr>
            </w:pPr>
            <w:r>
              <w:rPr>
                <w:color w:val="ED2024"/>
                <w:w w:val="105"/>
                <w:sz w:val="11"/>
              </w:rPr>
              <w:t>McIlvenna Bay</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Trans-Hudson</w:t>
            </w:r>
          </w:p>
        </w:tc>
        <w:tc>
          <w:tcPr>
            <w:tcW w:w="910" w:type="dxa"/>
          </w:tcPr>
          <w:p>
            <w:pPr>
              <w:pStyle w:val="TableParagraph"/>
              <w:ind w:right="177"/>
              <w:jc w:val="right"/>
              <w:rPr>
                <w:sz w:val="11"/>
              </w:rPr>
            </w:pPr>
            <w:r>
              <w:rPr>
                <w:color w:val="ED2024"/>
                <w:w w:val="105"/>
                <w:sz w:val="11"/>
              </w:rPr>
              <w:t>27.23</w:t>
            </w:r>
          </w:p>
        </w:tc>
        <w:tc>
          <w:tcPr>
            <w:tcW w:w="364" w:type="dxa"/>
          </w:tcPr>
          <w:p>
            <w:pPr>
              <w:pStyle w:val="TableParagraph"/>
              <w:ind w:right="16"/>
              <w:jc w:val="right"/>
              <w:rPr>
                <w:sz w:val="11"/>
              </w:rPr>
            </w:pPr>
            <w:r>
              <w:rPr>
                <w:color w:val="ED2024"/>
                <w:w w:val="105"/>
                <w:sz w:val="11"/>
              </w:rPr>
              <w:t>0.9</w:t>
            </w:r>
          </w:p>
        </w:tc>
        <w:tc>
          <w:tcPr>
            <w:tcW w:w="426" w:type="dxa"/>
          </w:tcPr>
          <w:p>
            <w:pPr>
              <w:pStyle w:val="TableParagraph"/>
              <w:ind w:right="59"/>
              <w:jc w:val="right"/>
              <w:rPr>
                <w:sz w:val="11"/>
              </w:rPr>
            </w:pPr>
            <w:r>
              <w:rPr>
                <w:color w:val="ED2024"/>
                <w:w w:val="105"/>
                <w:sz w:val="11"/>
              </w:rPr>
              <w:t>0.1</w:t>
            </w:r>
          </w:p>
        </w:tc>
        <w:tc>
          <w:tcPr>
            <w:tcW w:w="357" w:type="dxa"/>
          </w:tcPr>
          <w:p>
            <w:pPr>
              <w:pStyle w:val="TableParagraph"/>
              <w:ind w:right="60"/>
              <w:jc w:val="right"/>
              <w:rPr>
                <w:sz w:val="11"/>
              </w:rPr>
            </w:pPr>
            <w:r>
              <w:rPr>
                <w:color w:val="ED2024"/>
                <w:w w:val="105"/>
                <w:sz w:val="11"/>
              </w:rPr>
              <w:t>3.27</w:t>
            </w:r>
          </w:p>
        </w:tc>
        <w:tc>
          <w:tcPr>
            <w:tcW w:w="398" w:type="dxa"/>
          </w:tcPr>
          <w:p>
            <w:pPr>
              <w:pStyle w:val="TableParagraph"/>
              <w:ind w:right="37"/>
              <w:jc w:val="right"/>
              <w:rPr>
                <w:sz w:val="11"/>
              </w:rPr>
            </w:pPr>
            <w:r>
              <w:rPr>
                <w:color w:val="ED2024"/>
                <w:w w:val="105"/>
                <w:sz w:val="11"/>
              </w:rPr>
              <w:t>0.34</w:t>
            </w:r>
          </w:p>
        </w:tc>
        <w:tc>
          <w:tcPr>
            <w:tcW w:w="464" w:type="dxa"/>
          </w:tcPr>
          <w:p>
            <w:pPr>
              <w:pStyle w:val="TableParagraph"/>
              <w:ind w:left="77" w:right="54"/>
              <w:jc w:val="center"/>
              <w:rPr>
                <w:sz w:val="11"/>
              </w:rPr>
            </w:pPr>
            <w:r>
              <w:rPr>
                <w:color w:val="ED2024"/>
                <w:w w:val="105"/>
                <w:sz w:val="11"/>
              </w:rPr>
              <w:t>16.43</w:t>
            </w:r>
          </w:p>
        </w:tc>
        <w:tc>
          <w:tcPr>
            <w:tcW w:w="826" w:type="dxa"/>
          </w:tcPr>
          <w:p>
            <w:pPr>
              <w:pStyle w:val="TableParagraph"/>
              <w:ind w:left="45" w:right="10"/>
              <w:jc w:val="center"/>
              <w:rPr>
                <w:sz w:val="11"/>
              </w:rPr>
            </w:pPr>
            <w:r>
              <w:rPr>
                <w:color w:val="ED2024"/>
                <w:w w:val="105"/>
                <w:sz w:val="11"/>
              </w:rPr>
              <w:t>1900</w:t>
            </w:r>
          </w:p>
        </w:tc>
      </w:tr>
      <w:tr>
        <w:trPr>
          <w:trHeight w:val="146" w:hRule="atLeast"/>
        </w:trPr>
        <w:tc>
          <w:tcPr>
            <w:tcW w:w="1537" w:type="dxa"/>
          </w:tcPr>
          <w:p>
            <w:pPr>
              <w:pStyle w:val="TableParagraph"/>
              <w:ind w:left="22"/>
              <w:rPr>
                <w:sz w:val="11"/>
              </w:rPr>
            </w:pPr>
            <w:r>
              <w:rPr>
                <w:color w:val="ED2024"/>
                <w:w w:val="105"/>
                <w:sz w:val="11"/>
              </w:rPr>
              <w:t>Mattagami Lake</w:t>
            </w:r>
          </w:p>
        </w:tc>
        <w:tc>
          <w:tcPr>
            <w:tcW w:w="860" w:type="dxa"/>
          </w:tcPr>
          <w:p>
            <w:pPr>
              <w:pStyle w:val="TableParagraph"/>
              <w:ind w:left="114"/>
              <w:rPr>
                <w:sz w:val="11"/>
              </w:rPr>
            </w:pPr>
            <w:r>
              <w:rPr>
                <w:color w:val="ED2024"/>
                <w:w w:val="105"/>
                <w:sz w:val="11"/>
              </w:rPr>
              <w:t>Canada</w:t>
            </w:r>
          </w:p>
        </w:tc>
        <w:tc>
          <w:tcPr>
            <w:tcW w:w="1652" w:type="dxa"/>
          </w:tcPr>
          <w:p>
            <w:pPr>
              <w:pStyle w:val="TableParagraph"/>
              <w:ind w:left="105"/>
              <w:rPr>
                <w:sz w:val="11"/>
              </w:rPr>
            </w:pPr>
            <w:r>
              <w:rPr>
                <w:color w:val="ED2024"/>
                <w:w w:val="105"/>
                <w:sz w:val="11"/>
              </w:rPr>
              <w:t>Abitibi (Kenoran)</w:t>
            </w:r>
          </w:p>
        </w:tc>
        <w:tc>
          <w:tcPr>
            <w:tcW w:w="910" w:type="dxa"/>
          </w:tcPr>
          <w:p>
            <w:pPr>
              <w:pStyle w:val="TableParagraph"/>
              <w:ind w:right="176"/>
              <w:jc w:val="right"/>
              <w:rPr>
                <w:sz w:val="11"/>
              </w:rPr>
            </w:pPr>
            <w:r>
              <w:rPr>
                <w:color w:val="ED2024"/>
                <w:w w:val="105"/>
                <w:sz w:val="11"/>
              </w:rPr>
              <w:t>25.60</w:t>
            </w:r>
          </w:p>
        </w:tc>
        <w:tc>
          <w:tcPr>
            <w:tcW w:w="364" w:type="dxa"/>
          </w:tcPr>
          <w:p>
            <w:pPr>
              <w:pStyle w:val="TableParagraph"/>
              <w:ind w:right="16"/>
              <w:jc w:val="right"/>
              <w:rPr>
                <w:sz w:val="11"/>
              </w:rPr>
            </w:pPr>
            <w:r>
              <w:rPr>
                <w:color w:val="ED2024"/>
                <w:w w:val="105"/>
                <w:sz w:val="11"/>
              </w:rPr>
              <w:t>0.42</w:t>
            </w:r>
          </w:p>
        </w:tc>
        <w:tc>
          <w:tcPr>
            <w:tcW w:w="426" w:type="dxa"/>
          </w:tcPr>
          <w:p>
            <w:pPr>
              <w:pStyle w:val="TableParagraph"/>
              <w:spacing w:line="240" w:lineRule="auto" w:before="0"/>
              <w:rPr>
                <w:rFonts w:ascii="Times New Roman"/>
                <w:sz w:val="8"/>
              </w:rPr>
            </w:pPr>
          </w:p>
        </w:tc>
        <w:tc>
          <w:tcPr>
            <w:tcW w:w="357" w:type="dxa"/>
          </w:tcPr>
          <w:p>
            <w:pPr>
              <w:pStyle w:val="TableParagraph"/>
              <w:ind w:right="60"/>
              <w:jc w:val="right"/>
              <w:rPr>
                <w:sz w:val="11"/>
              </w:rPr>
            </w:pPr>
            <w:r>
              <w:rPr>
                <w:color w:val="ED2024"/>
                <w:w w:val="105"/>
                <w:sz w:val="11"/>
              </w:rPr>
              <w:t>5.1</w:t>
            </w:r>
          </w:p>
        </w:tc>
        <w:tc>
          <w:tcPr>
            <w:tcW w:w="398" w:type="dxa"/>
          </w:tcPr>
          <w:p>
            <w:pPr>
              <w:pStyle w:val="TableParagraph"/>
              <w:ind w:right="37"/>
              <w:jc w:val="right"/>
              <w:rPr>
                <w:sz w:val="11"/>
              </w:rPr>
            </w:pPr>
            <w:r>
              <w:rPr>
                <w:color w:val="ED2024"/>
                <w:w w:val="105"/>
                <w:sz w:val="11"/>
              </w:rPr>
              <w:t>0.30</w:t>
            </w:r>
          </w:p>
        </w:tc>
        <w:tc>
          <w:tcPr>
            <w:tcW w:w="464" w:type="dxa"/>
          </w:tcPr>
          <w:p>
            <w:pPr>
              <w:pStyle w:val="TableParagraph"/>
              <w:ind w:left="77" w:right="54"/>
              <w:jc w:val="center"/>
              <w:rPr>
                <w:sz w:val="11"/>
              </w:rPr>
            </w:pPr>
            <w:r>
              <w:rPr>
                <w:color w:val="ED2024"/>
                <w:w w:val="105"/>
                <w:sz w:val="11"/>
              </w:rPr>
              <w:t>21.60</w:t>
            </w:r>
          </w:p>
        </w:tc>
        <w:tc>
          <w:tcPr>
            <w:tcW w:w="826" w:type="dxa"/>
          </w:tcPr>
          <w:p>
            <w:pPr>
              <w:pStyle w:val="TableParagraph"/>
              <w:ind w:left="45" w:right="10"/>
              <w:jc w:val="center"/>
              <w:rPr>
                <w:sz w:val="11"/>
              </w:rPr>
            </w:pPr>
            <w:r>
              <w:rPr>
                <w:color w:val="ED2024"/>
                <w:w w:val="105"/>
                <w:sz w:val="11"/>
              </w:rPr>
              <w:t>2725</w:t>
            </w:r>
          </w:p>
        </w:tc>
      </w:tr>
      <w:tr>
        <w:trPr>
          <w:trHeight w:val="159" w:hRule="atLeast"/>
        </w:trPr>
        <w:tc>
          <w:tcPr>
            <w:tcW w:w="1537" w:type="dxa"/>
          </w:tcPr>
          <w:p>
            <w:pPr>
              <w:pStyle w:val="TableParagraph"/>
              <w:spacing w:line="240" w:lineRule="auto"/>
              <w:ind w:left="22"/>
              <w:rPr>
                <w:sz w:val="11"/>
              </w:rPr>
            </w:pPr>
            <w:r>
              <w:rPr>
                <w:color w:val="231F20"/>
                <w:w w:val="105"/>
                <w:sz w:val="11"/>
              </w:rPr>
              <w:t>Las Cruces ( primary)</w:t>
            </w:r>
          </w:p>
        </w:tc>
        <w:tc>
          <w:tcPr>
            <w:tcW w:w="860" w:type="dxa"/>
          </w:tcPr>
          <w:p>
            <w:pPr>
              <w:pStyle w:val="TableParagraph"/>
              <w:spacing w:line="240" w:lineRule="auto"/>
              <w:ind w:left="114"/>
              <w:rPr>
                <w:sz w:val="11"/>
              </w:rPr>
            </w:pPr>
            <w:r>
              <w:rPr>
                <w:color w:val="231F20"/>
                <w:w w:val="105"/>
                <w:sz w:val="11"/>
              </w:rPr>
              <w:t>Spain</w:t>
            </w:r>
          </w:p>
        </w:tc>
        <w:tc>
          <w:tcPr>
            <w:tcW w:w="1652" w:type="dxa"/>
          </w:tcPr>
          <w:p>
            <w:pPr>
              <w:pStyle w:val="TableParagraph"/>
              <w:spacing w:line="240" w:lineRule="auto"/>
              <w:ind w:left="105"/>
              <w:rPr>
                <w:sz w:val="11"/>
              </w:rPr>
            </w:pPr>
            <w:r>
              <w:rPr>
                <w:color w:val="231F20"/>
                <w:w w:val="105"/>
                <w:sz w:val="11"/>
              </w:rPr>
              <w:t>Hercynian</w:t>
            </w:r>
          </w:p>
        </w:tc>
        <w:tc>
          <w:tcPr>
            <w:tcW w:w="910" w:type="dxa"/>
          </w:tcPr>
          <w:p>
            <w:pPr>
              <w:pStyle w:val="TableParagraph"/>
              <w:spacing w:line="240" w:lineRule="auto"/>
              <w:ind w:right="177"/>
              <w:jc w:val="right"/>
              <w:rPr>
                <w:sz w:val="11"/>
              </w:rPr>
            </w:pPr>
            <w:r>
              <w:rPr>
                <w:color w:val="231F20"/>
                <w:w w:val="105"/>
                <w:sz w:val="11"/>
              </w:rPr>
              <w:t>25.20</w:t>
            </w:r>
          </w:p>
        </w:tc>
        <w:tc>
          <w:tcPr>
            <w:tcW w:w="364" w:type="dxa"/>
          </w:tcPr>
          <w:p>
            <w:pPr>
              <w:pStyle w:val="TableParagraph"/>
              <w:spacing w:line="240" w:lineRule="auto"/>
              <w:ind w:right="17"/>
              <w:jc w:val="right"/>
              <w:rPr>
                <w:sz w:val="11"/>
              </w:rPr>
            </w:pPr>
            <w:r>
              <w:rPr>
                <w:color w:val="231F20"/>
                <w:w w:val="105"/>
                <w:sz w:val="11"/>
              </w:rPr>
              <w:t>1.25</w:t>
            </w:r>
          </w:p>
        </w:tc>
        <w:tc>
          <w:tcPr>
            <w:tcW w:w="426" w:type="dxa"/>
          </w:tcPr>
          <w:p>
            <w:pPr>
              <w:pStyle w:val="TableParagraph"/>
              <w:spacing w:line="240" w:lineRule="auto"/>
              <w:ind w:right="59"/>
              <w:jc w:val="right"/>
              <w:rPr>
                <w:sz w:val="11"/>
              </w:rPr>
            </w:pPr>
            <w:r>
              <w:rPr>
                <w:color w:val="231F20"/>
                <w:w w:val="105"/>
                <w:sz w:val="11"/>
              </w:rPr>
              <w:t>1.69</w:t>
            </w:r>
          </w:p>
        </w:tc>
        <w:tc>
          <w:tcPr>
            <w:tcW w:w="357" w:type="dxa"/>
          </w:tcPr>
          <w:p>
            <w:pPr>
              <w:pStyle w:val="TableParagraph"/>
              <w:spacing w:line="240" w:lineRule="auto"/>
              <w:ind w:right="60"/>
              <w:jc w:val="right"/>
              <w:rPr>
                <w:sz w:val="11"/>
              </w:rPr>
            </w:pPr>
            <w:r>
              <w:rPr>
                <w:color w:val="231F20"/>
                <w:w w:val="105"/>
                <w:sz w:val="11"/>
              </w:rPr>
              <w:t>3.63</w:t>
            </w:r>
          </w:p>
        </w:tc>
        <w:tc>
          <w:tcPr>
            <w:tcW w:w="398" w:type="dxa"/>
          </w:tcPr>
          <w:p>
            <w:pPr>
              <w:pStyle w:val="TableParagraph"/>
              <w:spacing w:line="240" w:lineRule="auto"/>
              <w:ind w:right="37"/>
              <w:jc w:val="right"/>
              <w:rPr>
                <w:sz w:val="11"/>
              </w:rPr>
            </w:pPr>
            <w:r>
              <w:rPr>
                <w:color w:val="231F20"/>
                <w:w w:val="105"/>
                <w:sz w:val="11"/>
              </w:rPr>
              <w:t>0.38</w:t>
            </w:r>
          </w:p>
        </w:tc>
        <w:tc>
          <w:tcPr>
            <w:tcW w:w="464" w:type="dxa"/>
          </w:tcPr>
          <w:p>
            <w:pPr>
              <w:pStyle w:val="TableParagraph"/>
              <w:spacing w:line="240" w:lineRule="auto"/>
              <w:ind w:left="77" w:right="54"/>
              <w:jc w:val="center"/>
              <w:rPr>
                <w:sz w:val="11"/>
              </w:rPr>
            </w:pPr>
            <w:r>
              <w:rPr>
                <w:color w:val="231F20"/>
                <w:w w:val="105"/>
                <w:sz w:val="11"/>
              </w:rPr>
              <w:t>38.00</w:t>
            </w:r>
          </w:p>
        </w:tc>
        <w:tc>
          <w:tcPr>
            <w:tcW w:w="826" w:type="dxa"/>
          </w:tcPr>
          <w:p>
            <w:pPr>
              <w:pStyle w:val="TableParagraph"/>
              <w:spacing w:line="240" w:lineRule="auto"/>
              <w:ind w:left="45" w:right="10"/>
              <w:jc w:val="center"/>
              <w:rPr>
                <w:sz w:val="11"/>
              </w:rPr>
            </w:pPr>
            <w:r>
              <w:rPr>
                <w:color w:val="231F20"/>
                <w:w w:val="105"/>
                <w:sz w:val="11"/>
              </w:rPr>
              <w:t>320</w:t>
            </w:r>
          </w:p>
        </w:tc>
      </w:tr>
      <w:tr>
        <w:trPr>
          <w:trHeight w:val="159" w:hRule="atLeast"/>
        </w:trPr>
        <w:tc>
          <w:tcPr>
            <w:tcW w:w="1537" w:type="dxa"/>
          </w:tcPr>
          <w:p>
            <w:pPr>
              <w:pStyle w:val="TableParagraph"/>
              <w:spacing w:before="23"/>
              <w:ind w:left="22"/>
              <w:rPr>
                <w:sz w:val="11"/>
              </w:rPr>
            </w:pPr>
            <w:r>
              <w:rPr>
                <w:color w:val="ED2024"/>
                <w:w w:val="105"/>
                <w:sz w:val="11"/>
              </w:rPr>
              <w:t>Granduc</w:t>
            </w:r>
          </w:p>
        </w:tc>
        <w:tc>
          <w:tcPr>
            <w:tcW w:w="860" w:type="dxa"/>
          </w:tcPr>
          <w:p>
            <w:pPr>
              <w:pStyle w:val="TableParagraph"/>
              <w:spacing w:before="23"/>
              <w:ind w:left="114"/>
              <w:rPr>
                <w:sz w:val="11"/>
              </w:rPr>
            </w:pPr>
            <w:r>
              <w:rPr>
                <w:color w:val="ED2024"/>
                <w:w w:val="105"/>
                <w:sz w:val="11"/>
              </w:rPr>
              <w:t>Canada</w:t>
            </w:r>
          </w:p>
        </w:tc>
        <w:tc>
          <w:tcPr>
            <w:tcW w:w="1652" w:type="dxa"/>
          </w:tcPr>
          <w:p>
            <w:pPr>
              <w:pStyle w:val="TableParagraph"/>
              <w:spacing w:before="23"/>
              <w:ind w:left="105"/>
              <w:rPr>
                <w:sz w:val="11"/>
              </w:rPr>
            </w:pPr>
            <w:r>
              <w:rPr>
                <w:color w:val="ED2024"/>
                <w:w w:val="105"/>
                <w:sz w:val="11"/>
              </w:rPr>
              <w:t>N.Cordilleran</w:t>
            </w:r>
          </w:p>
        </w:tc>
        <w:tc>
          <w:tcPr>
            <w:tcW w:w="910" w:type="dxa"/>
          </w:tcPr>
          <w:p>
            <w:pPr>
              <w:pStyle w:val="TableParagraph"/>
              <w:spacing w:before="23"/>
              <w:ind w:right="177"/>
              <w:jc w:val="right"/>
              <w:rPr>
                <w:sz w:val="11"/>
              </w:rPr>
            </w:pPr>
            <w:r>
              <w:rPr>
                <w:color w:val="ED2024"/>
                <w:w w:val="105"/>
                <w:sz w:val="11"/>
              </w:rPr>
              <w:t>25.06</w:t>
            </w:r>
          </w:p>
        </w:tc>
        <w:tc>
          <w:tcPr>
            <w:tcW w:w="364" w:type="dxa"/>
          </w:tcPr>
          <w:p>
            <w:pPr>
              <w:pStyle w:val="TableParagraph"/>
              <w:spacing w:before="23"/>
              <w:ind w:right="17"/>
              <w:jc w:val="right"/>
              <w:rPr>
                <w:sz w:val="11"/>
              </w:rPr>
            </w:pPr>
            <w:r>
              <w:rPr>
                <w:color w:val="ED2024"/>
                <w:w w:val="105"/>
                <w:sz w:val="11"/>
              </w:rPr>
              <w:t>1.79</w:t>
            </w:r>
          </w:p>
        </w:tc>
        <w:tc>
          <w:tcPr>
            <w:tcW w:w="426" w:type="dxa"/>
          </w:tcPr>
          <w:p>
            <w:pPr>
              <w:pStyle w:val="TableParagraph"/>
              <w:spacing w:before="23"/>
              <w:ind w:right="59"/>
              <w:jc w:val="right"/>
              <w:rPr>
                <w:sz w:val="11"/>
              </w:rPr>
            </w:pPr>
            <w:r>
              <w:rPr>
                <w:color w:val="ED2024"/>
                <w:w w:val="105"/>
                <w:sz w:val="11"/>
              </w:rPr>
              <w:t>0.021</w:t>
            </w:r>
          </w:p>
        </w:tc>
        <w:tc>
          <w:tcPr>
            <w:tcW w:w="357" w:type="dxa"/>
          </w:tcPr>
          <w:p>
            <w:pPr>
              <w:pStyle w:val="TableParagraph"/>
              <w:spacing w:before="23"/>
              <w:ind w:right="60"/>
              <w:jc w:val="right"/>
              <w:rPr>
                <w:sz w:val="11"/>
              </w:rPr>
            </w:pPr>
            <w:r>
              <w:rPr>
                <w:color w:val="ED2024"/>
                <w:w w:val="105"/>
                <w:sz w:val="11"/>
              </w:rPr>
              <w:t>0.1</w:t>
            </w:r>
          </w:p>
        </w:tc>
        <w:tc>
          <w:tcPr>
            <w:tcW w:w="398" w:type="dxa"/>
          </w:tcPr>
          <w:p>
            <w:pPr>
              <w:pStyle w:val="TableParagraph"/>
              <w:spacing w:before="23"/>
              <w:ind w:right="37"/>
              <w:jc w:val="right"/>
              <w:rPr>
                <w:sz w:val="11"/>
              </w:rPr>
            </w:pPr>
            <w:r>
              <w:rPr>
                <w:color w:val="ED2024"/>
                <w:w w:val="105"/>
                <w:sz w:val="11"/>
              </w:rPr>
              <w:t>0.17</w:t>
            </w:r>
          </w:p>
        </w:tc>
        <w:tc>
          <w:tcPr>
            <w:tcW w:w="464" w:type="dxa"/>
          </w:tcPr>
          <w:p>
            <w:pPr>
              <w:pStyle w:val="TableParagraph"/>
              <w:spacing w:before="23"/>
              <w:ind w:left="77" w:right="54"/>
              <w:jc w:val="center"/>
              <w:rPr>
                <w:sz w:val="11"/>
              </w:rPr>
            </w:pPr>
            <w:r>
              <w:rPr>
                <w:color w:val="ED2024"/>
                <w:w w:val="105"/>
                <w:sz w:val="11"/>
              </w:rPr>
              <w:t>10.63</w:t>
            </w:r>
          </w:p>
        </w:tc>
        <w:tc>
          <w:tcPr>
            <w:tcW w:w="826" w:type="dxa"/>
          </w:tcPr>
          <w:p>
            <w:pPr>
              <w:pStyle w:val="TableParagraph"/>
              <w:spacing w:before="23"/>
              <w:ind w:left="45" w:right="10"/>
              <w:jc w:val="center"/>
              <w:rPr>
                <w:sz w:val="11"/>
              </w:rPr>
            </w:pPr>
            <w:r>
              <w:rPr>
                <w:color w:val="ED2024"/>
                <w:w w:val="105"/>
                <w:sz w:val="11"/>
              </w:rPr>
              <w:t>190</w:t>
            </w:r>
          </w:p>
        </w:tc>
      </w:tr>
      <w:tr>
        <w:trPr>
          <w:trHeight w:val="146" w:hRule="atLeast"/>
        </w:trPr>
        <w:tc>
          <w:tcPr>
            <w:tcW w:w="1537" w:type="dxa"/>
          </w:tcPr>
          <w:p>
            <w:pPr>
              <w:pStyle w:val="TableParagraph"/>
              <w:ind w:left="22"/>
              <w:rPr>
                <w:sz w:val="11"/>
              </w:rPr>
            </w:pPr>
            <w:r>
              <w:rPr>
                <w:color w:val="231F20"/>
                <w:w w:val="105"/>
                <w:sz w:val="11"/>
              </w:rPr>
              <w:t>Korbalikhinsk</w:t>
            </w:r>
          </w:p>
        </w:tc>
        <w:tc>
          <w:tcPr>
            <w:tcW w:w="860" w:type="dxa"/>
          </w:tcPr>
          <w:p>
            <w:pPr>
              <w:pStyle w:val="TableParagraph"/>
              <w:ind w:left="113"/>
              <w:rPr>
                <w:sz w:val="11"/>
              </w:rPr>
            </w:pPr>
            <w:r>
              <w:rPr>
                <w:color w:val="231F20"/>
                <w:w w:val="105"/>
                <w:sz w:val="11"/>
              </w:rPr>
              <w:t>Russia</w:t>
            </w:r>
          </w:p>
        </w:tc>
        <w:tc>
          <w:tcPr>
            <w:tcW w:w="1652" w:type="dxa"/>
          </w:tcPr>
          <w:p>
            <w:pPr>
              <w:pStyle w:val="TableParagraph"/>
              <w:ind w:left="105"/>
              <w:rPr>
                <w:sz w:val="11"/>
              </w:rPr>
            </w:pPr>
            <w:r>
              <w:rPr>
                <w:color w:val="231F20"/>
                <w:w w:val="105"/>
                <w:sz w:val="11"/>
              </w:rPr>
              <w:t>Altaides (Hercynian)</w:t>
            </w:r>
          </w:p>
        </w:tc>
        <w:tc>
          <w:tcPr>
            <w:tcW w:w="910" w:type="dxa"/>
          </w:tcPr>
          <w:p>
            <w:pPr>
              <w:pStyle w:val="TableParagraph"/>
              <w:ind w:right="177"/>
              <w:jc w:val="right"/>
              <w:rPr>
                <w:sz w:val="11"/>
              </w:rPr>
            </w:pPr>
            <w:r>
              <w:rPr>
                <w:color w:val="231F20"/>
                <w:w w:val="105"/>
                <w:sz w:val="11"/>
              </w:rPr>
              <w:t>25.00</w:t>
            </w:r>
          </w:p>
        </w:tc>
        <w:tc>
          <w:tcPr>
            <w:tcW w:w="364" w:type="dxa"/>
          </w:tcPr>
          <w:p>
            <w:pPr>
              <w:pStyle w:val="TableParagraph"/>
              <w:ind w:right="17"/>
              <w:jc w:val="right"/>
              <w:rPr>
                <w:sz w:val="11"/>
              </w:rPr>
            </w:pPr>
            <w:r>
              <w:rPr>
                <w:color w:val="231F20"/>
                <w:w w:val="105"/>
                <w:sz w:val="11"/>
              </w:rPr>
              <w:t>1.46</w:t>
            </w:r>
          </w:p>
        </w:tc>
        <w:tc>
          <w:tcPr>
            <w:tcW w:w="426" w:type="dxa"/>
          </w:tcPr>
          <w:p>
            <w:pPr>
              <w:pStyle w:val="TableParagraph"/>
              <w:ind w:right="59"/>
              <w:jc w:val="right"/>
              <w:rPr>
                <w:sz w:val="11"/>
              </w:rPr>
            </w:pPr>
            <w:r>
              <w:rPr>
                <w:color w:val="231F20"/>
                <w:w w:val="105"/>
                <w:sz w:val="11"/>
              </w:rPr>
              <w:t>2.01</w:t>
            </w:r>
          </w:p>
        </w:tc>
        <w:tc>
          <w:tcPr>
            <w:tcW w:w="357" w:type="dxa"/>
          </w:tcPr>
          <w:p>
            <w:pPr>
              <w:pStyle w:val="TableParagraph"/>
              <w:ind w:right="60"/>
              <w:jc w:val="right"/>
              <w:rPr>
                <w:sz w:val="11"/>
              </w:rPr>
            </w:pPr>
            <w:r>
              <w:rPr>
                <w:color w:val="231F20"/>
                <w:w w:val="105"/>
                <w:sz w:val="11"/>
              </w:rPr>
              <w:t>9.81</w:t>
            </w:r>
          </w:p>
        </w:tc>
        <w:tc>
          <w:tcPr>
            <w:tcW w:w="398" w:type="dxa"/>
          </w:tcPr>
          <w:p>
            <w:pPr>
              <w:pStyle w:val="TableParagraph"/>
              <w:spacing w:line="240" w:lineRule="auto" w:before="0"/>
              <w:rPr>
                <w:rFonts w:ascii="Times New Roman"/>
                <w:sz w:val="8"/>
              </w:rPr>
            </w:pPr>
          </w:p>
        </w:tc>
        <w:tc>
          <w:tcPr>
            <w:tcW w:w="464" w:type="dxa"/>
          </w:tcPr>
          <w:p>
            <w:pPr>
              <w:pStyle w:val="TableParagraph"/>
              <w:spacing w:line="240" w:lineRule="auto" w:before="0"/>
              <w:rPr>
                <w:rFonts w:ascii="Times New Roman"/>
                <w:sz w:val="8"/>
              </w:rPr>
            </w:pPr>
          </w:p>
        </w:tc>
        <w:tc>
          <w:tcPr>
            <w:tcW w:w="826" w:type="dxa"/>
          </w:tcPr>
          <w:p>
            <w:pPr>
              <w:pStyle w:val="TableParagraph"/>
              <w:ind w:left="45" w:right="10"/>
              <w:jc w:val="center"/>
              <w:rPr>
                <w:sz w:val="11"/>
              </w:rPr>
            </w:pPr>
            <w:r>
              <w:rPr>
                <w:color w:val="231F20"/>
                <w:w w:val="105"/>
                <w:sz w:val="11"/>
              </w:rPr>
              <w:t>375</w:t>
            </w:r>
          </w:p>
        </w:tc>
      </w:tr>
      <w:tr>
        <w:trPr>
          <w:trHeight w:val="160" w:hRule="atLeast"/>
        </w:trPr>
        <w:tc>
          <w:tcPr>
            <w:tcW w:w="1537" w:type="dxa"/>
            <w:tcBorders>
              <w:bottom w:val="single" w:sz="4" w:space="0" w:color="231F20"/>
            </w:tcBorders>
          </w:tcPr>
          <w:p>
            <w:pPr>
              <w:pStyle w:val="TableParagraph"/>
              <w:spacing w:line="240" w:lineRule="auto"/>
              <w:ind w:left="22"/>
              <w:rPr>
                <w:sz w:val="11"/>
              </w:rPr>
            </w:pPr>
            <w:r>
              <w:rPr>
                <w:color w:val="231F20"/>
                <w:w w:val="105"/>
                <w:sz w:val="11"/>
              </w:rPr>
              <w:t>Greens Creek</w:t>
            </w:r>
          </w:p>
        </w:tc>
        <w:tc>
          <w:tcPr>
            <w:tcW w:w="860" w:type="dxa"/>
            <w:tcBorders>
              <w:bottom w:val="single" w:sz="4" w:space="0" w:color="231F20"/>
            </w:tcBorders>
          </w:tcPr>
          <w:p>
            <w:pPr>
              <w:pStyle w:val="TableParagraph"/>
              <w:spacing w:line="240" w:lineRule="auto"/>
              <w:ind w:left="113"/>
              <w:rPr>
                <w:sz w:val="11"/>
              </w:rPr>
            </w:pPr>
            <w:r>
              <w:rPr>
                <w:color w:val="231F20"/>
                <w:w w:val="105"/>
                <w:sz w:val="11"/>
              </w:rPr>
              <w:t>USA</w:t>
            </w:r>
          </w:p>
        </w:tc>
        <w:tc>
          <w:tcPr>
            <w:tcW w:w="1652" w:type="dxa"/>
            <w:tcBorders>
              <w:bottom w:val="single" w:sz="4" w:space="0" w:color="231F20"/>
            </w:tcBorders>
          </w:tcPr>
          <w:p>
            <w:pPr>
              <w:pStyle w:val="TableParagraph"/>
              <w:spacing w:line="240" w:lineRule="auto"/>
              <w:ind w:left="105"/>
              <w:rPr>
                <w:sz w:val="11"/>
              </w:rPr>
            </w:pPr>
            <w:r>
              <w:rPr>
                <w:color w:val="231F20"/>
                <w:w w:val="105"/>
                <w:sz w:val="11"/>
              </w:rPr>
              <w:t>N.Cordilleran</w:t>
            </w:r>
          </w:p>
        </w:tc>
        <w:tc>
          <w:tcPr>
            <w:tcW w:w="910" w:type="dxa"/>
            <w:tcBorders>
              <w:bottom w:val="single" w:sz="4" w:space="0" w:color="231F20"/>
            </w:tcBorders>
          </w:tcPr>
          <w:p>
            <w:pPr>
              <w:pStyle w:val="TableParagraph"/>
              <w:spacing w:line="240" w:lineRule="auto"/>
              <w:ind w:right="177"/>
              <w:jc w:val="right"/>
              <w:rPr>
                <w:sz w:val="11"/>
              </w:rPr>
            </w:pPr>
            <w:r>
              <w:rPr>
                <w:color w:val="231F20"/>
                <w:w w:val="105"/>
                <w:sz w:val="11"/>
              </w:rPr>
              <w:t>25.00</w:t>
            </w:r>
          </w:p>
        </w:tc>
        <w:tc>
          <w:tcPr>
            <w:tcW w:w="364" w:type="dxa"/>
            <w:tcBorders>
              <w:bottom w:val="single" w:sz="4" w:space="0" w:color="231F20"/>
            </w:tcBorders>
          </w:tcPr>
          <w:p>
            <w:pPr>
              <w:pStyle w:val="TableParagraph"/>
              <w:spacing w:line="240" w:lineRule="auto"/>
              <w:ind w:right="17"/>
              <w:jc w:val="right"/>
              <w:rPr>
                <w:sz w:val="11"/>
              </w:rPr>
            </w:pPr>
            <w:r>
              <w:rPr>
                <w:color w:val="231F20"/>
                <w:w w:val="105"/>
                <w:sz w:val="11"/>
              </w:rPr>
              <w:t>0.32</w:t>
            </w:r>
          </w:p>
        </w:tc>
        <w:tc>
          <w:tcPr>
            <w:tcW w:w="426" w:type="dxa"/>
            <w:tcBorders>
              <w:bottom w:val="single" w:sz="4" w:space="0" w:color="231F20"/>
            </w:tcBorders>
          </w:tcPr>
          <w:p>
            <w:pPr>
              <w:pStyle w:val="TableParagraph"/>
              <w:spacing w:line="240" w:lineRule="auto"/>
              <w:ind w:right="59"/>
              <w:jc w:val="right"/>
              <w:rPr>
                <w:sz w:val="11"/>
              </w:rPr>
            </w:pPr>
            <w:r>
              <w:rPr>
                <w:color w:val="231F20"/>
                <w:w w:val="105"/>
                <w:sz w:val="11"/>
              </w:rPr>
              <w:t>5.1</w:t>
            </w:r>
          </w:p>
        </w:tc>
        <w:tc>
          <w:tcPr>
            <w:tcW w:w="357" w:type="dxa"/>
            <w:tcBorders>
              <w:bottom w:val="single" w:sz="4" w:space="0" w:color="231F20"/>
            </w:tcBorders>
          </w:tcPr>
          <w:p>
            <w:pPr>
              <w:pStyle w:val="TableParagraph"/>
              <w:spacing w:line="240" w:lineRule="auto"/>
              <w:ind w:right="60"/>
              <w:jc w:val="right"/>
              <w:rPr>
                <w:sz w:val="11"/>
              </w:rPr>
            </w:pPr>
            <w:r>
              <w:rPr>
                <w:color w:val="231F20"/>
                <w:w w:val="105"/>
                <w:sz w:val="11"/>
              </w:rPr>
              <w:t>13.9</w:t>
            </w:r>
          </w:p>
        </w:tc>
        <w:tc>
          <w:tcPr>
            <w:tcW w:w="398" w:type="dxa"/>
            <w:tcBorders>
              <w:bottom w:val="single" w:sz="4" w:space="0" w:color="231F20"/>
            </w:tcBorders>
          </w:tcPr>
          <w:p>
            <w:pPr>
              <w:pStyle w:val="TableParagraph"/>
              <w:spacing w:line="240" w:lineRule="auto"/>
              <w:ind w:right="37"/>
              <w:jc w:val="right"/>
              <w:rPr>
                <w:sz w:val="11"/>
              </w:rPr>
            </w:pPr>
            <w:r>
              <w:rPr>
                <w:color w:val="231F20"/>
                <w:w w:val="105"/>
                <w:sz w:val="11"/>
              </w:rPr>
              <w:t>5.61</w:t>
            </w:r>
          </w:p>
        </w:tc>
        <w:tc>
          <w:tcPr>
            <w:tcW w:w="464" w:type="dxa"/>
            <w:tcBorders>
              <w:bottom w:val="single" w:sz="4" w:space="0" w:color="231F20"/>
            </w:tcBorders>
          </w:tcPr>
          <w:p>
            <w:pPr>
              <w:pStyle w:val="TableParagraph"/>
              <w:spacing w:line="240" w:lineRule="auto"/>
              <w:ind w:left="14" w:right="54"/>
              <w:jc w:val="center"/>
              <w:rPr>
                <w:sz w:val="11"/>
              </w:rPr>
            </w:pPr>
            <w:r>
              <w:rPr>
                <w:color w:val="231F20"/>
                <w:w w:val="105"/>
                <w:sz w:val="11"/>
              </w:rPr>
              <w:t>706.00</w:t>
            </w:r>
          </w:p>
        </w:tc>
        <w:tc>
          <w:tcPr>
            <w:tcW w:w="826" w:type="dxa"/>
            <w:tcBorders>
              <w:bottom w:val="single" w:sz="4" w:space="0" w:color="231F20"/>
            </w:tcBorders>
          </w:tcPr>
          <w:p>
            <w:pPr>
              <w:pStyle w:val="TableParagraph"/>
              <w:spacing w:line="240" w:lineRule="auto"/>
              <w:ind w:left="45" w:right="10"/>
              <w:jc w:val="center"/>
              <w:rPr>
                <w:sz w:val="11"/>
              </w:rPr>
            </w:pPr>
            <w:r>
              <w:rPr>
                <w:color w:val="231F20"/>
                <w:w w:val="105"/>
                <w:sz w:val="11"/>
              </w:rPr>
              <w:t>220</w:t>
            </w:r>
          </w:p>
        </w:tc>
      </w:tr>
    </w:tbl>
    <w:p>
      <w:pPr>
        <w:spacing w:before="23"/>
        <w:ind w:left="2267" w:right="0" w:firstLine="0"/>
        <w:jc w:val="left"/>
        <w:rPr>
          <w:rFonts w:ascii="Arial"/>
          <w:sz w:val="11"/>
        </w:rPr>
      </w:pPr>
      <w:r>
        <w:rPr>
          <w:rFonts w:ascii="Arial"/>
          <w:color w:val="231F20"/>
          <w:w w:val="105"/>
          <w:sz w:val="11"/>
        </w:rPr>
        <w:t>* Modified from Franklin et al., 2005</w:t>
      </w:r>
    </w:p>
    <w:p>
      <w:pPr>
        <w:spacing w:after="0"/>
        <w:jc w:val="left"/>
        <w:rPr>
          <w:rFonts w:ascii="Arial"/>
          <w:sz w:val="11"/>
        </w:rPr>
        <w:sectPr>
          <w:pgSz w:w="12240" w:h="15840"/>
          <w:pgMar w:header="673" w:footer="779" w:top="1000" w:bottom="960" w:left="0" w:right="0"/>
        </w:sectPr>
      </w:pPr>
    </w:p>
    <w:p>
      <w:pPr>
        <w:pStyle w:val="BodyText"/>
        <w:spacing w:before="7"/>
        <w:rPr>
          <w:rFonts w:ascii="Arial"/>
          <w:sz w:val="5"/>
        </w:rPr>
      </w:pPr>
    </w:p>
    <w:p>
      <w:pPr>
        <w:pStyle w:val="BodyText"/>
        <w:spacing w:line="20" w:lineRule="exact"/>
        <w:ind w:left="1077"/>
        <w:rPr>
          <w:rFonts w:ascii="Arial"/>
          <w:sz w:val="2"/>
        </w:rPr>
      </w:pPr>
      <w:r>
        <w:rPr>
          <w:rFonts w:ascii="Arial"/>
          <w:sz w:val="2"/>
        </w:rPr>
        <w:pict>
          <v:group style="width:504pt;height:.25pt;mso-position-horizontal-relative:char;mso-position-vertical-relative:line" coordorigin="0,0" coordsize="10080,5">
            <v:line style="position:absolute" from="0,3" to="10080,3" stroked="true" strokeweight=".25pt" strokecolor="#231f20">
              <v:stroke dashstyle="solid"/>
            </v:line>
          </v:group>
        </w:pict>
      </w:r>
      <w:r>
        <w:rPr>
          <w:rFonts w:ascii="Arial"/>
          <w:sz w:val="2"/>
        </w:rPr>
      </w:r>
    </w:p>
    <w:p>
      <w:pPr>
        <w:pStyle w:val="BodyText"/>
        <w:spacing w:before="1"/>
        <w:rPr>
          <w:rFonts w:ascii="Arial"/>
          <w:sz w:val="6"/>
        </w:rPr>
      </w:pPr>
    </w:p>
    <w:p>
      <w:pPr>
        <w:spacing w:after="0"/>
        <w:rPr>
          <w:rFonts w:ascii="Arial"/>
          <w:sz w:val="6"/>
        </w:rPr>
        <w:sectPr>
          <w:headerReference w:type="default" r:id="rId145"/>
          <w:headerReference w:type="even" r:id="rId146"/>
          <w:pgSz w:w="12240" w:h="15840"/>
          <w:pgMar w:header="673" w:footer="779" w:top="940" w:bottom="960" w:left="0" w:right="0"/>
        </w:sectPr>
      </w:pPr>
    </w:p>
    <w:p>
      <w:pPr>
        <w:spacing w:before="124"/>
        <w:ind w:left="1052" w:right="2477" w:firstLine="0"/>
        <w:jc w:val="center"/>
        <w:rPr>
          <w:rFonts w:ascii="Arial"/>
          <w:sz w:val="14"/>
        </w:rPr>
      </w:pPr>
      <w:r>
        <w:rPr/>
        <w:pict>
          <v:group style="position:absolute;margin-left:76.387001pt;margin-top:9.555457pt;width:199.8pt;height:128.4pt;mso-position-horizontal-relative:page;mso-position-vertical-relative:paragraph;z-index:5488" coordorigin="1528,191" coordsize="3996,2568">
            <v:rect style="position:absolute;left:1560;top:197;width:3949;height:2529" filled="false" stroked="true" strokeweight=".482pt" strokecolor="#231f20">
              <v:stroke dashstyle="solid"/>
            </v:rect>
            <v:shape style="position:absolute;left:-3982;top:14713;width:3982;height:2560" coordorigin="-3981,14714" coordsize="3982,2560" path="m5509,230l5509,200m4721,230l4721,200m3932,230l3932,200m3136,230l3136,200m2347,230l2347,200m1559,230l1559,200m5509,222l5509,200m5470,222l5470,200m5432,222l5432,200m5385,222l5385,200m5331,222l5331,200m5269,222l5269,200m5192,222l5192,200m5099,222l5099,200m4960,222l4960,200m4721,222l4721,200m4682,222l4682,200m4643,222l4643,200m4597,222l4597,200m4543,222l4543,200m4481,222l4481,200m4404,222l4404,200m4303,222l4303,200m4164,222l4164,200m3932,222l3932,200m3893,222l3893,200m3855,222l3855,200m3808,222l3808,200m3754,222l3754,200m3692,222l3692,200m3615,222l3615,200m3515,222l3515,200m3375,222l3375,200m3136,222l3136,200m3105,222l3105,200m3058,222l3058,200m3020,222l3020,200m2966,222l2966,200m2904,222l2904,200m2827,222l2827,200m2726,222l2726,200m2587,222l2587,200m2347,222l2347,200m2316,222l2316,200m2270,222l2270,200m2224,222l2224,200m2177,222l2177,200m2108,222l2108,200m2038,222l2038,200m1938,222l1938,200m1798,222l1798,200m1559,222l1559,200m1528,200l1559,200m1536,200l1559,200m5509,2758l5509,2728m4720,2758l4720,2728m3932,2758l3932,2728m3136,2758l3136,2728m2347,2758l2347,2728m1559,2758l1559,2728m5509,2751l5509,2728m5470,2751l5470,2728m5432,2751l5432,2728m5385,2751l5385,2728m5331,2751l5331,2728m5269,2751l5269,2728m5192,2751l5192,2728m5099,2751l5099,2728m4960,2751l4960,2728m4720,2751l4720,2728m4682,2751l4682,2728m4643,2751l4643,2728m4597,2751l4597,2728m4543,2751l4543,2728m4481,2751l4481,2728m4404,2751l4404,2728m4303,2751l4303,2728m4164,2751l4164,2728m3932,2751l3932,2728m3893,2751l3893,2728m3855,2751l3855,2728m3808,2751l3808,2728m3754,2751l3754,2728m3692,2751l3692,2728m3615,2751l3615,2728m3514,2751l3514,2728m3375,2751l3375,2728m3136,2751l3136,2728m3105,2751l3105,2728m3058,2751l3058,2728m3020,2751l3020,2728m2966,2751l2966,2728m2904,2751l2904,2728m2826,2751l2826,2728m2726,2751l2726,2728m2587,2751l2587,2728m2347,2751l2347,2728m2316,2751l2316,2728m2270,2751l2270,2728m2223,2751l2223,2728m2177,2751l2177,2728m2108,2751l2108,2728m2038,2751l2038,2728m1937,2751l1937,2728m1798,2751l1798,2728m1559,2751l1559,2728m1528,2728l1559,2728m1535,2728l1559,2728m1528,198l1559,198m1528,833l1559,833m1528,1467l1559,1467m1528,2094l1559,2094m1535,198l1559,198m1535,229l1559,229m1535,259l1559,259m1535,297l1559,297m1535,342l1559,342m1535,387l1559,387m1535,448l1559,448m1535,531l1559,531m1535,644l1559,644m1535,833l1559,833m1535,863l1559,863m1535,893l1559,893m1535,931l1559,931m1535,969l1559,969m1535,1022l1559,1022m1535,1082l1559,1082m1535,1165l1559,1165m1535,1271l1559,1271m1535,1459l1559,1459m1535,1490l1559,1490m1535,1527l1559,1527m1535,1558l1559,1558m1535,1603l1559,1603m1535,1656l1559,1656m1535,1716l1559,1716m1535,1792l1559,1792m1535,1905l1559,1905m1535,2094l1559,2094m1535,2124l1559,2124m1535,2154l1559,2154m1535,2192l1559,2192m1535,2237l1559,2237m1535,2282l1559,2282m1535,2350l1559,2350m1535,2426l1559,2426m1535,2539l1559,2539m1559,198l5509,198e" filled="false" stroked="true" strokeweight=".482pt" strokecolor="#231f20">
              <v:path arrowok="t"/>
              <v:stroke dashstyle="solid"/>
            </v:shape>
            <v:shape style="position:absolute;left:1535;top:1142;width:47;height:46" coordorigin="1535,1142" coordsize="47,46" path="m1559,1142l1535,1165,1559,1188,1582,1165,1559,1142xe" filled="true" fillcolor="#504b72" stroked="false">
              <v:path arrowok="t"/>
              <v:fill type="solid"/>
            </v:shape>
            <v:shape style="position:absolute;left:1535;top:1142;width:47;height:46" coordorigin="1535,1142" coordsize="47,46" path="m1559,1142l1582,1165,1559,1188,1535,1165,1559,1142xe" filled="false" stroked="true" strokeweight=".482pt" strokecolor="#231f20">
              <v:path arrowok="t"/>
              <v:stroke dashstyle="solid"/>
            </v:shape>
            <v:shape style="position:absolute;left:1937;top:192;width:3575;height:1891" type="#_x0000_t75" stroked="false">
              <v:imagedata r:id="rId147" o:title=""/>
            </v:shape>
            <v:shape style="position:absolute;left:2756;top:1821;width:47;height:46" coordorigin="2757,1822" coordsize="47,46" path="m2780,1822l2757,1845,2780,1867,2803,1845,2780,1822xe" filled="true" fillcolor="#231f20" stroked="false">
              <v:path arrowok="t"/>
              <v:fill type="solid"/>
            </v:shape>
            <v:shape style="position:absolute;left:-1598;top:14746;width:3958;height:2537" coordorigin="-1597,14747" coordsize="3958,2537" path="m2349,199l5506,2722m1555,199l4718,2736m1555,833l3931,2729m1548,1461l3137,2736e" filled="false" stroked="true" strokeweight=".482pt" strokecolor="#231f20">
              <v:path arrowok="t"/>
              <v:stroke dashstyle="solid"/>
            </v:shape>
            <v:line style="position:absolute" from="3501,214" to="5503,1810" stroked="true" strokeweight=".482pt" strokecolor="#231f20">
              <v:stroke dashstyle="shortdash"/>
            </v:line>
            <v:line style="position:absolute" from="3941,196" to="5509,1450" stroked="true" strokeweight=".482pt" strokecolor="#231f20">
              <v:stroke dashstyle="solid"/>
            </v:line>
            <v:shape style="position:absolute;left:0;top:14571;width:420;height:635" coordorigin="0,14571" coordsize="420,635" path="m4342,674l4496,965m4643,500l4586,930m4762,1135l4596,1026e" filled="false" stroked="true" strokeweight=".208pt" strokecolor="#231f20">
              <v:path arrowok="t"/>
              <v:stroke dashstyle="solid"/>
            </v:shape>
            <v:shape style="position:absolute;left:4640;top:617;width:883;height:825" type="#_x0000_t202" filled="false" stroked="false">
              <v:textbox inset="0,0,0,0">
                <w:txbxContent>
                  <w:p>
                    <w:pPr>
                      <w:spacing w:before="3"/>
                      <w:ind w:left="0" w:right="0" w:firstLine="0"/>
                      <w:jc w:val="left"/>
                      <w:rPr>
                        <w:rFonts w:ascii="Arial"/>
                        <w:b/>
                        <w:sz w:val="11"/>
                      </w:rPr>
                    </w:pPr>
                    <w:r>
                      <w:rPr>
                        <w:rFonts w:ascii="Arial"/>
                        <w:b/>
                        <w:color w:val="231F20"/>
                        <w:w w:val="105"/>
                        <w:sz w:val="11"/>
                      </w:rPr>
                      <w:t>Brunswick #12</w:t>
                    </w:r>
                  </w:p>
                  <w:p>
                    <w:pPr>
                      <w:spacing w:line="220" w:lineRule="auto" w:before="80"/>
                      <w:ind w:left="57" w:right="13" w:firstLine="183"/>
                      <w:jc w:val="left"/>
                      <w:rPr>
                        <w:rFonts w:ascii="Arial"/>
                        <w:b/>
                        <w:sz w:val="11"/>
                      </w:rPr>
                    </w:pPr>
                    <w:r>
                      <w:rPr>
                        <w:rFonts w:ascii="Arial"/>
                        <w:b/>
                        <w:color w:val="231F20"/>
                        <w:w w:val="105"/>
                        <w:sz w:val="11"/>
                      </w:rPr>
                      <w:t>Kidd Creek Ruttan</w:t>
                    </w:r>
                  </w:p>
                  <w:p>
                    <w:pPr>
                      <w:spacing w:before="58"/>
                      <w:ind w:left="115" w:right="291" w:firstLine="0"/>
                      <w:jc w:val="center"/>
                      <w:rPr>
                        <w:rFonts w:ascii="Arial"/>
                        <w:b/>
                        <w:sz w:val="11"/>
                      </w:rPr>
                    </w:pPr>
                    <w:r>
                      <w:rPr>
                        <w:rFonts w:ascii="Arial"/>
                        <w:b/>
                        <w:color w:val="231F20"/>
                        <w:w w:val="105"/>
                        <w:sz w:val="11"/>
                      </w:rPr>
                      <w:t>Caribou</w:t>
                    </w:r>
                  </w:p>
                  <w:p>
                    <w:pPr>
                      <w:spacing w:before="70"/>
                      <w:ind w:left="512" w:right="0" w:firstLine="0"/>
                      <w:jc w:val="left"/>
                      <w:rPr>
                        <w:rFonts w:ascii="Arial"/>
                        <w:b/>
                        <w:sz w:val="11"/>
                      </w:rPr>
                    </w:pPr>
                    <w:r>
                      <w:rPr>
                        <w:rFonts w:ascii="Arial"/>
                        <w:b/>
                        <w:color w:val="231F20"/>
                        <w:w w:val="105"/>
                        <w:sz w:val="11"/>
                      </w:rPr>
                      <w:t>Windy</w:t>
                    </w:r>
                  </w:p>
                </w:txbxContent>
              </v:textbox>
              <w10:wrap type="none"/>
            </v:shape>
            <v:shape style="position:absolute;left:4177;top:560;width:314;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Geco</w:t>
                    </w:r>
                  </w:p>
                </w:txbxContent>
              </v:textbox>
              <w10:wrap type="none"/>
            </v:shape>
            <v:shape style="position:absolute;left:5253;top:250;width:175;height:259" type="#_x0000_t202" filled="false" stroked="false">
              <v:textbox inset="0,0,0,0">
                <w:txbxContent>
                  <w:p>
                    <w:pPr>
                      <w:spacing w:line="258" w:lineRule="exact" w:before="0"/>
                      <w:ind w:left="0" w:right="0" w:firstLine="0"/>
                      <w:jc w:val="left"/>
                      <w:rPr>
                        <w:rFonts w:ascii="Arial"/>
                        <w:sz w:val="23"/>
                      </w:rPr>
                    </w:pPr>
                    <w:r>
                      <w:rPr>
                        <w:rFonts w:ascii="Arial"/>
                        <w:color w:val="231F20"/>
                        <w:w w:val="100"/>
                        <w:sz w:val="23"/>
                      </w:rPr>
                      <w:t>A</w:t>
                    </w:r>
                  </w:p>
                </w:txbxContent>
              </v:textbox>
              <w10:wrap type="none"/>
            </v:shape>
            <v:shape style="position:absolute;left:4617;top:375;width:509;height:132" type="#_x0000_t202" filled="false" stroked="false">
              <v:textbox inset="0,0,0,0">
                <w:txbxContent>
                  <w:p>
                    <w:pPr>
                      <w:spacing w:before="3"/>
                      <w:ind w:left="0" w:right="0" w:firstLine="0"/>
                      <w:jc w:val="left"/>
                      <w:rPr>
                        <w:rFonts w:ascii="Arial"/>
                        <w:b/>
                        <w:sz w:val="11"/>
                      </w:rPr>
                    </w:pPr>
                    <w:r>
                      <w:rPr>
                        <w:rFonts w:ascii="Arial"/>
                        <w:b/>
                        <w:color w:val="231F20"/>
                        <w:w w:val="105"/>
                        <w:sz w:val="11"/>
                      </w:rPr>
                      <w:t>Flin Flon</w:t>
                    </w:r>
                  </w:p>
                </w:txbxContent>
              </v:textbox>
              <w10:wrap type="none"/>
            </v:shape>
            <w10:wrap type="none"/>
          </v:group>
        </w:pict>
      </w:r>
      <w:r>
        <w:rPr/>
        <w:pict>
          <v:shape style="position:absolute;margin-left:184.887878pt;margin-top:18.416761pt;width:16.8pt;height:5.8pt;mso-position-horizontal-relative:page;mso-position-vertical-relative:paragraph;z-index:5776;rotation:39" type="#_x0000_t136" fillcolor="#231f20" stroked="f">
            <o:extrusion v:ext="view" autorotationcenter="t"/>
            <v:textpath style="font-family:&amp;quot;Arial&amp;quot;;font-size:5pt;v-text-kern:t;mso-text-shadow:auto;font-weight:bold" string="4.0 Mt"/>
            <w10:wrap type="none"/>
          </v:shape>
        </w:pict>
      </w:r>
      <w:r>
        <w:rPr/>
        <w:pict>
          <v:shape style="position:absolute;margin-left:168.228943pt;margin-top:17.594736pt;width:16.8pt;height:5.8pt;mso-position-horizontal-relative:page;mso-position-vertical-relative:paragraph;z-index:5800;rotation:39" type="#_x0000_t136" fillcolor="#231f20" stroked="f">
            <o:extrusion v:ext="view" autorotationcenter="t"/>
            <v:textpath style="font-family:&amp;quot;Arial&amp;quot;;font-size:5pt;v-text-kern:t;mso-text-shadow:auto;font-weight:bold" string="1.0 Mt"/>
            <w10:wrap type="none"/>
          </v:shape>
        </w:pict>
      </w:r>
      <w:r>
        <w:rPr>
          <w:rFonts w:ascii="Arial"/>
          <w:color w:val="231F20"/>
          <w:w w:val="110"/>
          <w:sz w:val="14"/>
        </w:rPr>
        <w:t>100.0</w:t>
      </w:r>
    </w:p>
    <w:p>
      <w:pPr>
        <w:pStyle w:val="BodyText"/>
        <w:rPr>
          <w:rFonts w:ascii="Arial"/>
          <w:sz w:val="16"/>
        </w:rPr>
      </w:pPr>
    </w:p>
    <w:p>
      <w:pPr>
        <w:pStyle w:val="BodyText"/>
        <w:rPr>
          <w:rFonts w:ascii="Arial"/>
          <w:sz w:val="16"/>
        </w:rPr>
      </w:pPr>
    </w:p>
    <w:p>
      <w:pPr>
        <w:spacing w:before="99"/>
        <w:ind w:left="1098" w:right="2439" w:firstLine="0"/>
        <w:jc w:val="center"/>
        <w:rPr>
          <w:rFonts w:ascii="Arial"/>
          <w:sz w:val="14"/>
        </w:rPr>
      </w:pPr>
      <w:r>
        <w:rPr/>
        <w:pict>
          <v:shape style="position:absolute;margin-left:52.678089pt;margin-top:21.728989pt;width:9.550pt;height:47pt;mso-position-horizontal-relative:page;mso-position-vertical-relative:paragraph;z-index:5848" type="#_x0000_t202" filled="false" stroked="false">
            <v:textbox inset="0,0,0,0" style="layout-flow:vertical;mso-layout-flow-alt:bottom-to-top">
              <w:txbxContent>
                <w:p>
                  <w:pPr>
                    <w:spacing w:before="20"/>
                    <w:ind w:left="20" w:right="0" w:firstLine="0"/>
                    <w:jc w:val="left"/>
                    <w:rPr>
                      <w:rFonts w:ascii="Arial"/>
                      <w:b/>
                      <w:sz w:val="13"/>
                    </w:rPr>
                  </w:pPr>
                  <w:r>
                    <w:rPr>
                      <w:rFonts w:ascii="Arial"/>
                      <w:b/>
                      <w:color w:val="231F20"/>
                      <w:sz w:val="13"/>
                    </w:rPr>
                    <w:t>Cu+Zn+Pb (%)</w:t>
                  </w:r>
                </w:p>
              </w:txbxContent>
            </v:textbox>
            <w10:wrap type="none"/>
          </v:shape>
        </w:pict>
      </w:r>
      <w:r>
        <w:rPr>
          <w:rFonts w:ascii="Arial"/>
          <w:color w:val="231F20"/>
          <w:w w:val="110"/>
          <w:sz w:val="14"/>
        </w:rPr>
        <w:t>10.0</w:t>
      </w:r>
    </w:p>
    <w:p>
      <w:pPr>
        <w:pStyle w:val="BodyText"/>
        <w:rPr>
          <w:rFonts w:ascii="Arial"/>
          <w:sz w:val="16"/>
        </w:rPr>
      </w:pPr>
    </w:p>
    <w:p>
      <w:pPr>
        <w:pStyle w:val="BodyText"/>
        <w:rPr>
          <w:rFonts w:ascii="Arial"/>
          <w:sz w:val="16"/>
        </w:rPr>
      </w:pPr>
    </w:p>
    <w:p>
      <w:pPr>
        <w:spacing w:before="99"/>
        <w:ind w:left="1098" w:right="2356" w:firstLine="0"/>
        <w:jc w:val="center"/>
        <w:rPr>
          <w:rFonts w:ascii="Arial"/>
          <w:sz w:val="14"/>
        </w:rPr>
      </w:pPr>
      <w:r>
        <w:rPr>
          <w:rFonts w:ascii="Arial"/>
          <w:color w:val="231F20"/>
          <w:w w:val="110"/>
          <w:sz w:val="14"/>
        </w:rPr>
        <w:t>1.0</w:t>
      </w:r>
    </w:p>
    <w:p>
      <w:pPr>
        <w:pStyle w:val="BodyText"/>
        <w:rPr>
          <w:rFonts w:ascii="Arial"/>
          <w:sz w:val="16"/>
        </w:rPr>
      </w:pPr>
    </w:p>
    <w:p>
      <w:pPr>
        <w:pStyle w:val="BodyText"/>
        <w:rPr>
          <w:rFonts w:ascii="Arial"/>
          <w:sz w:val="16"/>
        </w:rPr>
      </w:pPr>
    </w:p>
    <w:p>
      <w:pPr>
        <w:spacing w:before="101"/>
        <w:ind w:left="1098" w:right="2315" w:firstLine="0"/>
        <w:jc w:val="center"/>
        <w:rPr>
          <w:rFonts w:ascii="Arial"/>
          <w:sz w:val="14"/>
        </w:rPr>
      </w:pPr>
      <w:r>
        <w:rPr>
          <w:rFonts w:ascii="Arial"/>
          <w:color w:val="231F20"/>
          <w:w w:val="110"/>
          <w:sz w:val="14"/>
        </w:rPr>
        <w:t>0.1</w:t>
      </w:r>
    </w:p>
    <w:p>
      <w:pPr>
        <w:pStyle w:val="BodyText"/>
        <w:rPr>
          <w:rFonts w:ascii="Arial"/>
          <w:sz w:val="16"/>
        </w:rPr>
      </w:pPr>
    </w:p>
    <w:p>
      <w:pPr>
        <w:pStyle w:val="BodyText"/>
        <w:spacing w:before="9"/>
        <w:rPr>
          <w:rFonts w:ascii="Arial"/>
          <w:sz w:val="23"/>
        </w:rPr>
      </w:pPr>
    </w:p>
    <w:p>
      <w:pPr>
        <w:spacing w:line="153" w:lineRule="exact" w:before="0"/>
        <w:ind w:left="1098" w:right="2358" w:firstLine="0"/>
        <w:jc w:val="center"/>
        <w:rPr>
          <w:rFonts w:ascii="Arial"/>
          <w:sz w:val="14"/>
        </w:rPr>
      </w:pPr>
      <w:r>
        <w:rPr>
          <w:rFonts w:ascii="Arial"/>
          <w:color w:val="231F20"/>
          <w:w w:val="110"/>
          <w:sz w:val="14"/>
        </w:rPr>
        <w:t>0.0</w:t>
      </w:r>
    </w:p>
    <w:p>
      <w:pPr>
        <w:tabs>
          <w:tab w:pos="2278" w:val="left" w:leader="none"/>
          <w:tab w:pos="3065" w:val="left" w:leader="none"/>
          <w:tab w:pos="3879" w:val="left" w:leader="none"/>
        </w:tabs>
        <w:spacing w:line="163" w:lineRule="exact" w:before="0"/>
        <w:ind w:left="1411" w:right="0" w:firstLine="0"/>
        <w:jc w:val="left"/>
        <w:rPr>
          <w:rFonts w:ascii="Arial"/>
          <w:sz w:val="14"/>
        </w:rPr>
      </w:pPr>
      <w:r>
        <w:rPr>
          <w:rFonts w:ascii="Arial"/>
          <w:color w:val="231F20"/>
          <w:w w:val="110"/>
          <w:position w:val="1"/>
          <w:sz w:val="14"/>
        </w:rPr>
        <w:t>0.01</w:t>
        <w:tab/>
        <w:t>0.1</w:t>
        <w:tab/>
        <w:t>1.0</w:t>
        <w:tab/>
      </w:r>
      <w:r>
        <w:rPr>
          <w:rFonts w:ascii="Arial"/>
          <w:color w:val="231F20"/>
          <w:spacing w:val="-1"/>
          <w:w w:val="105"/>
          <w:sz w:val="14"/>
        </w:rPr>
        <w:t>10</w:t>
      </w:r>
    </w:p>
    <w:p>
      <w:pPr>
        <w:spacing w:before="11"/>
        <w:ind w:left="0" w:right="230" w:firstLine="0"/>
        <w:jc w:val="right"/>
        <w:rPr>
          <w:rFonts w:ascii="Arial"/>
          <w:b/>
          <w:sz w:val="13"/>
        </w:rPr>
      </w:pPr>
      <w:r>
        <w:rPr>
          <w:rFonts w:ascii="Arial"/>
          <w:b/>
          <w:color w:val="231F20"/>
          <w:w w:val="105"/>
          <w:sz w:val="13"/>
        </w:rPr>
        <w:t>Tonnage (Mt)</w:t>
      </w:r>
    </w:p>
    <w:p>
      <w:pPr>
        <w:pStyle w:val="BodyText"/>
        <w:spacing w:before="10"/>
        <w:rPr>
          <w:rFonts w:ascii="Arial"/>
          <w:b/>
          <w:sz w:val="17"/>
        </w:rPr>
      </w:pPr>
    </w:p>
    <w:p>
      <w:pPr>
        <w:spacing w:before="0"/>
        <w:ind w:left="1098" w:right="2414" w:firstLine="0"/>
        <w:jc w:val="center"/>
        <w:rPr>
          <w:rFonts w:ascii="Arial"/>
          <w:sz w:val="14"/>
        </w:rPr>
      </w:pPr>
      <w:r>
        <w:rPr/>
        <w:pict>
          <v:group style="position:absolute;margin-left:78.339996pt;margin-top:2.378558pt;width:205.75pt;height:122pt;mso-position-horizontal-relative:page;mso-position-vertical-relative:paragraph;z-index:5368" coordorigin="1567,48" coordsize="4115,2440">
            <v:shape style="position:absolute;left:-3290;top:11385;width:4093;height:2432" coordorigin="-3289,11386" coordsize="4093,2432" path="m4859,105l4859,59m4859,93l4859,59m4814,93l4814,59m4780,93l4780,59m4735,93l4735,59m4679,93l4679,59m4612,93l4612,59m4534,93l4534,59m4051,105l4051,59m4051,93l4051,59m4007,93l4007,59m3973,93l3973,59m3917,93l3917,59m3872,93l3872,59m3805,93l3805,59m3726,93l3726,59m3233,105l3233,59m3233,93l3233,59m3199,93l3199,59m3154,93l3154,59m3110,93l3110,59m3053,93l3053,59m2997,93l2997,59m2919,93l2919,59m2425,105l2425,59m2425,93l2425,59m2392,93l2392,59m2347,93l2347,59m2302,93l2302,59m2246,93l2246,59m2179,93l2179,59m2100,93l2100,59m5633,93l5633,59m5588,93l5588,59m5543,93l5543,59m5487,93l5487,59m5420,93l5420,59m5341,93l5341,59m5240,93l5240,59m5106,93l5106,59m4433,93l4433,59m4287,93l4287,59m3625,93l3625,59m3480,93l3480,59m2818,93l2818,59m2672,93l2672,59m1999,93l1999,59m1865,93l1865,59m5663,2487l5663,2442m5663,2476l5663,2442m5629,2476l5629,2442m5584,2476l5584,2442m5539,2476l5539,2442m5483,2476l5483,2442m5416,2476l5416,2442m5337,2476l5337,2442m4855,2487l4855,2442m4855,2476l4855,2442m4810,2476l4810,2442m4777,2476l4777,2442m4732,2476l4732,2442m4676,2476l4676,2442m4609,2476l4609,2442m4530,2476l4530,2442m4048,2487l4048,2442m4048,2476l4048,2442m4003,2476l4003,2442m3969,2476l3969,2442m3913,2476l3913,2442m3868,2476l3868,2442m3801,2476l3801,2442m3723,2476l3723,2442m3229,2487l3229,2442m3229,2476l3229,2442m3196,2476l3196,2442m3151,2476l3151,2442m3106,2476l3106,2442m3050,2476l3050,2442m2994,2476l2994,2442m2915,2476l2915,2442m2422,2487l2422,2442m2422,2476l2422,2442m2388,2476l2388,2442m2343,2476l2343,2442m2299,2476l2299,2442m2243,2476l2243,2442m2175,2476l2175,2442m2097,2476l2097,2442m1615,2487l1615,2442m1615,2476l1615,2442m1570,2442l1615,2442m1581,2442l1615,2442m5237,2476l5237,2442m5102,2476l5102,2442m4429,2476l4429,2442m4283,2476l4283,2442m3622,2476l3622,2442m3476,2476l3476,2442m2814,2476l2814,2442m2669,2476l2669,2442m1996,2476l1996,2442m1861,2476l1861,2442m1570,663l1615,663m1581,686l1615,686m1581,720l1615,720m1581,754l1615,754m1581,788l1615,788m1581,833l1615,833m1581,890l1615,890m1581,969l1615,969m1570,1252l1615,1252m1581,1252l1615,1252m1581,1275l1615,1275m1581,1309l1615,1309m1581,1343l1615,1343m1581,1388l1615,1388m1581,1433l1615,1433m1581,1490l1615,1490m1581,1558l1615,1558m1570,1853l1615,1853m1581,1875l1615,1875m1581,1909l1615,1909m1581,1943l1615,1943m1581,1977l1615,1977m1581,2023l1615,2023m1581,2079l1615,2079m1581,2159l1615,2159m1581,1071l1615,1071m1581,1671l1615,1671m1581,2260l1615,2260m1615,56l5663,56,5663,2442,1615,2442,1615,56xe" filled="false" stroked="true" strokeweight=".482pt" strokecolor="#231f20">
              <v:path arrowok="t"/>
              <v:stroke dashstyle="solid"/>
            </v:shape>
            <v:shape style="position:absolute;left:2158;top:48;width:3510;height:1963" type="#_x0000_t75" stroked="false">
              <v:imagedata r:id="rId148" o:title=""/>
            </v:shape>
            <v:shape style="position:absolute;left:2836;top:1818;width:68;height:68" coordorigin="2837,1819" coordsize="68,68" path="m2870,1819l2837,1853,2870,1887,2904,1853,2870,1819xe" filled="true" fillcolor="#231f20" stroked="false">
              <v:path arrowok="t"/>
              <v:fill type="solid"/>
            </v:shape>
            <v:shape style="position:absolute;left:2836;top:1818;width:68;height:68" coordorigin="2837,1819" coordsize="68,68" path="m2870,1819l2904,1853,2870,1887,2837,1853,2870,1819xe" filled="false" stroked="true" strokeweight=".561pt" strokecolor="#504b72">
              <v:path arrowok="t"/>
              <v:stroke dashstyle="solid"/>
            </v:shape>
            <v:shape style="position:absolute;left:2747;top:1807;width:68;height:68" coordorigin="2747,1807" coordsize="68,68" path="m2781,1807l2747,1841,2781,1875,2814,1841,2781,1807xe" filled="true" fillcolor="#231f20" stroked="false">
              <v:path arrowok="t"/>
              <v:fill type="solid"/>
            </v:shape>
            <v:shape style="position:absolute;left:2747;top:1807;width:68;height:68" coordorigin="2747,1807" coordsize="68,68" path="m2781,1807l2814,1841,2781,1875,2747,1841,2781,1807xe" filled="false" stroked="true" strokeweight=".561pt" strokecolor="#504b72">
              <v:path arrowok="t"/>
              <v:stroke dashstyle="solid"/>
            </v:shape>
            <v:shape style="position:absolute;left:2679;top:1727;width:68;height:68" coordorigin="2680,1728" coordsize="68,68" path="m2713,1728l2680,1762,2713,1796,2747,1762,2713,1728xe" filled="true" fillcolor="#231f20" stroked="false">
              <v:path arrowok="t"/>
              <v:fill type="solid"/>
            </v:shape>
            <v:shape style="position:absolute;left:2679;top:1727;width:68;height:68" coordorigin="2680,1728" coordsize="68,68" path="m2713,1728l2747,1762,2713,1796,2680,1762,2713,1728xe" filled="false" stroked="true" strokeweight=".561pt" strokecolor="#504b72">
              <v:path arrowok="t"/>
              <v:stroke dashstyle="solid"/>
            </v:shape>
            <v:shape style="position:absolute;left:2107;top:1501;width:68;height:68" coordorigin="2108,1501" coordsize="68,68" path="m2142,1501l2108,1535,2142,1569,2175,1535,2142,1501xe" filled="true" fillcolor="#231f20" stroked="false">
              <v:path arrowok="t"/>
              <v:fill type="solid"/>
            </v:shape>
            <v:shape style="position:absolute;left:2107;top:1501;width:68;height:68" coordorigin="2108,1501" coordsize="68,68" path="m2142,1501l2175,1535,2142,1569,2108,1535,2142,1501xe" filled="false" stroked="true" strokeweight=".561pt" strokecolor="#504b72">
              <v:path arrowok="t"/>
              <v:stroke dashstyle="solid"/>
            </v:shape>
            <v:shape style="position:absolute;left:2175;top:1501;width:68;height:68" coordorigin="2175,1501" coordsize="68,68" path="m2209,1501l2175,1535,2209,1569,2243,1535,2209,1501xe" filled="true" fillcolor="#231f20" stroked="false">
              <v:path arrowok="t"/>
              <v:fill type="solid"/>
            </v:shape>
            <v:shape style="position:absolute;left:2175;top:1501;width:68;height:68" coordorigin="2175,1501" coordsize="68,68" path="m2209,1501l2243,1535,2209,1569,2175,1535,2209,1501xe" filled="false" stroked="true" strokeweight=".561pt" strokecolor="#504b72">
              <v:path arrowok="t"/>
              <v:stroke dashstyle="solid"/>
            </v:shape>
            <v:shape style="position:absolute;left:-2450;top:11422;width:4050;height:2389" coordorigin="-2449,11423" coordsize="4050,2389" path="m2438,56l5663,2444m1615,60l4813,2440m1618,656l4050,2444m1613,1256l3218,2441e" filled="false" stroked="true" strokeweight=".482pt" strokecolor="#231f20">
              <v:path arrowok="t"/>
              <v:stroke dashstyle="solid"/>
            </v:shape>
            <v:shape style="position:absolute;left:-560;top:11434;width:560;height:135" coordorigin="-560,11435" coordsize="560,135" path="m4922,667l4698,757m4575,678l4363,802e" filled="false" stroked="true" strokeweight=".208pt" strokecolor="#231f20">
              <v:path arrowok="t"/>
              <v:stroke dashstyle="solid"/>
            </v:shape>
            <v:shape style="position:absolute;left:0;top:11434;width:45;height:408" coordorigin="0,11435" coordsize="45,408" path="m1567,52l1612,52m1578,75l1612,75m1578,109l1612,109m1578,143l1612,143m1578,177l1612,177m1578,222l1612,222m1578,279l1612,279m1578,358l1612,358m1578,460l1612,460e" filled="false" stroked="true" strokeweight=".482pt" strokecolor="#231f20">
              <v:path arrowok="t"/>
              <v:stroke dashstyle="solid"/>
            </v:shape>
            <v:shape style="position:absolute;left:4168;top:536;width:1514;height:699" type="#_x0000_t202" filled="false" stroked="false">
              <v:textbox inset="0,0,0,0">
                <w:txbxContent>
                  <w:p>
                    <w:pPr>
                      <w:spacing w:before="0"/>
                      <w:ind w:left="0" w:right="0" w:firstLine="0"/>
                      <w:jc w:val="left"/>
                      <w:rPr>
                        <w:rFonts w:ascii="Arial"/>
                        <w:b/>
                        <w:sz w:val="12"/>
                      </w:rPr>
                    </w:pPr>
                    <w:r>
                      <w:rPr>
                        <w:rFonts w:ascii="Arial"/>
                        <w:b/>
                        <w:color w:val="231F20"/>
                        <w:w w:val="105"/>
                        <w:sz w:val="12"/>
                      </w:rPr>
                      <w:t>Bousquet 2  </w:t>
                    </w:r>
                    <w:r>
                      <w:rPr>
                        <w:rFonts w:ascii="Arial"/>
                        <w:b/>
                        <w:color w:val="231F20"/>
                        <w:w w:val="105"/>
                        <w:position w:val="-3"/>
                        <w:sz w:val="12"/>
                      </w:rPr>
                      <w:t>Horne</w:t>
                    </w:r>
                  </w:p>
                  <w:p>
                    <w:pPr>
                      <w:spacing w:line="244" w:lineRule="auto" w:before="70"/>
                      <w:ind w:left="580" w:right="0" w:hanging="39"/>
                      <w:jc w:val="left"/>
                      <w:rPr>
                        <w:rFonts w:ascii="Arial"/>
                        <w:b/>
                        <w:sz w:val="12"/>
                      </w:rPr>
                    </w:pPr>
                    <w:r>
                      <w:rPr>
                        <w:rFonts w:ascii="Arial"/>
                        <w:b/>
                        <w:color w:val="231F20"/>
                        <w:sz w:val="12"/>
                      </w:rPr>
                      <w:t>LaRonde-Penna </w:t>
                    </w:r>
                    <w:r>
                      <w:rPr>
                        <w:rFonts w:ascii="Arial"/>
                        <w:b/>
                        <w:color w:val="231F20"/>
                        <w:w w:val="105"/>
                        <w:sz w:val="12"/>
                      </w:rPr>
                      <w:t>Flin Flon</w:t>
                    </w:r>
                  </w:p>
                  <w:p>
                    <w:pPr>
                      <w:spacing w:before="30"/>
                      <w:ind w:left="614" w:right="0" w:firstLine="0"/>
                      <w:jc w:val="left"/>
                      <w:rPr>
                        <w:rFonts w:ascii="Arial"/>
                        <w:b/>
                        <w:sz w:val="12"/>
                      </w:rPr>
                    </w:pPr>
                    <w:r>
                      <w:rPr>
                        <w:rFonts w:ascii="Arial"/>
                        <w:b/>
                        <w:color w:val="231F20"/>
                        <w:w w:val="105"/>
                        <w:sz w:val="12"/>
                      </w:rPr>
                      <w:t>Caribou</w:t>
                    </w:r>
                  </w:p>
                </w:txbxContent>
              </v:textbox>
              <w10:wrap type="none"/>
            </v:shape>
            <v:shape style="position:absolute;left:5404;top:129;width:175;height:259" type="#_x0000_t202" filled="false" stroked="false">
              <v:textbox inset="0,0,0,0">
                <w:txbxContent>
                  <w:p>
                    <w:pPr>
                      <w:spacing w:line="258" w:lineRule="exact" w:before="0"/>
                      <w:ind w:left="0" w:right="0" w:firstLine="0"/>
                      <w:jc w:val="left"/>
                      <w:rPr>
                        <w:rFonts w:ascii="Arial"/>
                        <w:sz w:val="23"/>
                      </w:rPr>
                    </w:pPr>
                    <w:r>
                      <w:rPr>
                        <w:rFonts w:ascii="Arial"/>
                        <w:color w:val="231F20"/>
                        <w:w w:val="100"/>
                        <w:sz w:val="23"/>
                      </w:rPr>
                      <w:t>B</w:t>
                    </w:r>
                  </w:p>
                </w:txbxContent>
              </v:textbox>
              <w10:wrap type="none"/>
            </v:shape>
            <v:shape style="position:absolute;left:3122;top:248;width:382;height:266" type="#_x0000_t202" filled="false" stroked="false">
              <v:textbox inset="0,0,0,0">
                <w:txbxContent>
                  <w:p>
                    <w:pPr>
                      <w:spacing w:line="218" w:lineRule="auto" w:before="10"/>
                      <w:ind w:left="13" w:right="15" w:hanging="14"/>
                      <w:jc w:val="left"/>
                      <w:rPr>
                        <w:rFonts w:ascii="Arial"/>
                        <w:b/>
                        <w:sz w:val="12"/>
                      </w:rPr>
                    </w:pPr>
                    <w:r>
                      <w:rPr>
                        <w:rFonts w:ascii="Arial"/>
                        <w:b/>
                        <w:color w:val="231F20"/>
                        <w:sz w:val="12"/>
                      </w:rPr>
                      <w:t>Eskay Creek</w:t>
                    </w:r>
                  </w:p>
                </w:txbxContent>
              </v:textbox>
              <w10:wrap type="none"/>
            </v:shape>
            <w10:wrap type="none"/>
          </v:group>
        </w:pict>
      </w:r>
      <w:r>
        <w:rPr>
          <w:rFonts w:ascii="Arial"/>
          <w:color w:val="231F20"/>
          <w:w w:val="105"/>
          <w:sz w:val="14"/>
        </w:rPr>
        <w:t>100.0</w:t>
      </w:r>
    </w:p>
    <w:p>
      <w:pPr>
        <w:pStyle w:val="BodyText"/>
        <w:rPr>
          <w:rFonts w:ascii="Arial"/>
          <w:sz w:val="16"/>
        </w:rPr>
      </w:pPr>
    </w:p>
    <w:p>
      <w:pPr>
        <w:pStyle w:val="BodyText"/>
        <w:spacing w:before="10"/>
        <w:rPr>
          <w:rFonts w:ascii="Arial"/>
          <w:sz w:val="19"/>
        </w:rPr>
      </w:pPr>
    </w:p>
    <w:p>
      <w:pPr>
        <w:spacing w:before="1"/>
        <w:ind w:left="1098" w:right="2343" w:firstLine="0"/>
        <w:jc w:val="center"/>
        <w:rPr>
          <w:rFonts w:ascii="Arial"/>
          <w:sz w:val="14"/>
        </w:rPr>
      </w:pPr>
      <w:r>
        <w:rPr>
          <w:rFonts w:ascii="Arial"/>
          <w:color w:val="231F20"/>
          <w:w w:val="105"/>
          <w:sz w:val="14"/>
        </w:rPr>
        <w:t>10.0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72"/>
        <w:ind w:left="0" w:right="0" w:firstLine="0"/>
        <w:jc w:val="right"/>
        <w:rPr>
          <w:rFonts w:ascii="Arial"/>
          <w:b/>
          <w:sz w:val="11"/>
        </w:rPr>
      </w:pPr>
      <w:r>
        <w:rPr/>
        <w:pict>
          <v:shape style="position:absolute;margin-left:211.182602pt;margin-top:-40.83255pt;width:20.1pt;height:5.8pt;mso-position-horizontal-relative:page;mso-position-vertical-relative:paragraph;z-index:5752;rotation:39" type="#_x0000_t136" fillcolor="#231f20" stroked="f">
            <o:extrusion v:ext="view" autorotationcenter="t"/>
            <v:textpath style="font-family:&amp;quot;Arial&amp;quot;;font-size:5pt;v-text-kern:t;mso-text-shadow:auto;font-weight:bold" string="10.0 Mt"/>
            <w10:wrap type="none"/>
          </v:shape>
        </w:pict>
      </w:r>
      <w:r>
        <w:rPr>
          <w:rFonts w:ascii="Arial"/>
          <w:b/>
          <w:color w:val="231F20"/>
          <w:w w:val="105"/>
          <w:sz w:val="11"/>
        </w:rPr>
        <w:t>Craggy</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tabs>
          <w:tab w:pos="1136" w:val="left" w:leader="none"/>
        </w:tabs>
        <w:spacing w:before="96"/>
        <w:ind w:left="527" w:right="0" w:firstLine="0"/>
        <w:jc w:val="left"/>
        <w:rPr>
          <w:rFonts w:ascii="Arial"/>
          <w:sz w:val="14"/>
        </w:rPr>
      </w:pPr>
      <w:r>
        <w:rPr>
          <w:rFonts w:ascii="Arial"/>
          <w:color w:val="231F20"/>
          <w:w w:val="110"/>
          <w:sz w:val="14"/>
        </w:rPr>
        <w:t>100</w:t>
        <w:tab/>
        <w:t>1,000</w:t>
      </w:r>
    </w:p>
    <w:p>
      <w:pPr>
        <w:pStyle w:val="BodyText"/>
        <w:spacing w:line="230" w:lineRule="auto" w:before="115"/>
        <w:ind w:left="334" w:right="1080"/>
        <w:jc w:val="both"/>
      </w:pPr>
      <w:r>
        <w:rPr/>
        <w:br w:type="column"/>
      </w:r>
      <w:r>
        <w:rPr>
          <w:color w:val="231F20"/>
        </w:rPr>
        <w:t>formation of multiple mineral deposit types, including epithermal and VMS deposits. A good example of this is the Lower Jurassic Hazelton Group in British Columbia, which hosts the Eskay Creek Au-rich VMS deposit (Barrett and Sherlock,</w:t>
      </w:r>
      <w:r>
        <w:rPr>
          <w:color w:val="231F20"/>
          <w:spacing w:val="-5"/>
        </w:rPr>
        <w:t> </w:t>
      </w:r>
      <w:r>
        <w:rPr>
          <w:color w:val="231F20"/>
        </w:rPr>
        <w:t>1996b;</w:t>
      </w:r>
      <w:r>
        <w:rPr>
          <w:color w:val="231F20"/>
          <w:spacing w:val="-5"/>
        </w:rPr>
        <w:t> </w:t>
      </w:r>
      <w:r>
        <w:rPr>
          <w:color w:val="231F20"/>
        </w:rPr>
        <w:t>Nelson</w:t>
      </w:r>
      <w:r>
        <w:rPr>
          <w:color w:val="231F20"/>
          <w:spacing w:val="-5"/>
        </w:rPr>
        <w:t> </w:t>
      </w:r>
      <w:r>
        <w:rPr>
          <w:color w:val="231F20"/>
        </w:rPr>
        <w:t>and</w:t>
      </w:r>
      <w:r>
        <w:rPr>
          <w:color w:val="231F20"/>
          <w:spacing w:val="-5"/>
        </w:rPr>
        <w:t> </w:t>
      </w:r>
      <w:r>
        <w:rPr>
          <w:color w:val="231F20"/>
        </w:rPr>
        <w:t>Mihalynuk,</w:t>
      </w:r>
      <w:r>
        <w:rPr>
          <w:color w:val="231F20"/>
          <w:spacing w:val="-5"/>
        </w:rPr>
        <w:t> </w:t>
      </w:r>
      <w:r>
        <w:rPr>
          <w:color w:val="231F20"/>
        </w:rPr>
        <w:t>2004).</w:t>
      </w:r>
      <w:r>
        <w:rPr>
          <w:color w:val="231F20"/>
          <w:spacing w:val="-9"/>
        </w:rPr>
        <w:t> </w:t>
      </w:r>
      <w:r>
        <w:rPr>
          <w:color w:val="231F20"/>
        </w:rPr>
        <w:t>When</w:t>
      </w:r>
      <w:r>
        <w:rPr>
          <w:color w:val="231F20"/>
          <w:spacing w:val="-5"/>
        </w:rPr>
        <w:t> </w:t>
      </w:r>
      <w:r>
        <w:rPr>
          <w:color w:val="231F20"/>
        </w:rPr>
        <w:t>these strike-slip fault systems propagate into a continental margin setting, such as in the modern day Guaymas Basin, Gulf of California, the strike-slip basins begin to infill with terrige- nous</w:t>
      </w:r>
      <w:r>
        <w:rPr>
          <w:color w:val="231F20"/>
          <w:spacing w:val="-12"/>
        </w:rPr>
        <w:t> </w:t>
      </w:r>
      <w:r>
        <w:rPr>
          <w:color w:val="231F20"/>
        </w:rPr>
        <w:t>sediment.</w:t>
      </w:r>
      <w:r>
        <w:rPr>
          <w:color w:val="231F20"/>
          <w:spacing w:val="-16"/>
        </w:rPr>
        <w:t> </w:t>
      </w:r>
      <w:r>
        <w:rPr>
          <w:color w:val="231F20"/>
        </w:rPr>
        <w:t>They</w:t>
      </w:r>
      <w:r>
        <w:rPr>
          <w:color w:val="231F20"/>
          <w:spacing w:val="-12"/>
        </w:rPr>
        <w:t> </w:t>
      </w:r>
      <w:r>
        <w:rPr>
          <w:color w:val="231F20"/>
        </w:rPr>
        <w:t>can</w:t>
      </w:r>
      <w:r>
        <w:rPr>
          <w:color w:val="231F20"/>
          <w:spacing w:val="-12"/>
        </w:rPr>
        <w:t> </w:t>
      </w:r>
      <w:r>
        <w:rPr>
          <w:color w:val="231F20"/>
        </w:rPr>
        <w:t>host</w:t>
      </w:r>
      <w:r>
        <w:rPr>
          <w:color w:val="231F20"/>
          <w:spacing w:val="-12"/>
        </w:rPr>
        <w:t> </w:t>
      </w:r>
      <w:r>
        <w:rPr>
          <w:color w:val="231F20"/>
        </w:rPr>
        <w:t>mafic</w:t>
      </w:r>
      <w:r>
        <w:rPr>
          <w:color w:val="231F20"/>
          <w:spacing w:val="-12"/>
        </w:rPr>
        <w:t> </w:t>
      </w:r>
      <w:r>
        <w:rPr>
          <w:color w:val="231F20"/>
        </w:rPr>
        <w:t>siliciclastic-hosted</w:t>
      </w:r>
      <w:r>
        <w:rPr>
          <w:color w:val="231F20"/>
          <w:spacing w:val="-16"/>
        </w:rPr>
        <w:t> </w:t>
      </w:r>
      <w:r>
        <w:rPr>
          <w:color w:val="231F20"/>
        </w:rPr>
        <w:t>VMS deposits, such as the Triassic Windy Craggy and </w:t>
      </w:r>
      <w:r>
        <w:rPr>
          <w:color w:val="231F20"/>
          <w:spacing w:val="-3"/>
        </w:rPr>
        <w:t>Green’s </w:t>
      </w:r>
      <w:r>
        <w:rPr>
          <w:color w:val="231F20"/>
        </w:rPr>
        <w:t>Creek deposits in British Columbia and Alaska, respectively (Peter and Scott, 1999). These are known as Besshi-type deposits from the type locality in the fore-deep accretionary wedge outboard of the Miocene Japanese islands. Other mafic siliciclastic-hosted VMS deposits occur along modern sedimented seafloor spreading systems such as Middle </w:t>
      </w:r>
      <w:r>
        <w:rPr>
          <w:color w:val="231F20"/>
          <w:spacing w:val="-6"/>
        </w:rPr>
        <w:t>Valley, </w:t>
      </w:r>
      <w:r>
        <w:rPr>
          <w:color w:val="231F20"/>
        </w:rPr>
        <w:t>on the Juan de Fuca Ridge off the British Columbia coast (Goodfellow et al.,</w:t>
      </w:r>
      <w:r>
        <w:rPr>
          <w:color w:val="231F20"/>
          <w:spacing w:val="17"/>
        </w:rPr>
        <w:t> </w:t>
      </w:r>
      <w:r>
        <w:rPr>
          <w:color w:val="231F20"/>
        </w:rPr>
        <w:t>1999).</w:t>
      </w:r>
    </w:p>
    <w:p>
      <w:pPr>
        <w:spacing w:after="0" w:line="230" w:lineRule="auto"/>
        <w:jc w:val="both"/>
        <w:sectPr>
          <w:type w:val="continuous"/>
          <w:pgSz w:w="12240" w:h="15840"/>
          <w:pgMar w:top="920" w:bottom="280" w:left="0" w:right="0"/>
          <w:cols w:num="3" w:equalWidth="0">
            <w:col w:w="4047" w:space="40"/>
            <w:col w:w="1854" w:space="39"/>
            <w:col w:w="6260"/>
          </w:cols>
        </w:sectPr>
      </w:pPr>
    </w:p>
    <w:p>
      <w:pPr>
        <w:pStyle w:val="BodyText"/>
        <w:spacing w:before="9"/>
        <w:rPr>
          <w:sz w:val="25"/>
        </w:rPr>
      </w:pPr>
    </w:p>
    <w:p>
      <w:pPr>
        <w:spacing w:before="103"/>
        <w:ind w:left="1341" w:right="0" w:firstLine="0"/>
        <w:jc w:val="left"/>
        <w:rPr>
          <w:rFonts w:ascii="Arial"/>
          <w:sz w:val="14"/>
        </w:rPr>
      </w:pPr>
      <w:r>
        <w:rPr/>
        <w:pict>
          <v:shape style="position:absolute;margin-left:52.696083pt;margin-top:-8.565565pt;width:9.550pt;height:42.15pt;mso-position-horizontal-relative:page;mso-position-vertical-relative:paragraph;z-index:5824" type="#_x0000_t202" filled="false" stroked="false">
            <v:textbox inset="0,0,0,0" style="layout-flow:vertical;mso-layout-flow-alt:bottom-to-top">
              <w:txbxContent>
                <w:p>
                  <w:pPr>
                    <w:spacing w:before="20"/>
                    <w:ind w:left="20" w:right="0" w:firstLine="0"/>
                    <w:jc w:val="left"/>
                    <w:rPr>
                      <w:rFonts w:ascii="Arial"/>
                      <w:b/>
                      <w:sz w:val="13"/>
                    </w:rPr>
                  </w:pPr>
                  <w:r>
                    <w:rPr>
                      <w:rFonts w:ascii="Arial"/>
                      <w:b/>
                      <w:color w:val="231F20"/>
                      <w:w w:val="105"/>
                      <w:sz w:val="13"/>
                    </w:rPr>
                    <w:t>Au (g/tonne)</w:t>
                  </w:r>
                </w:p>
              </w:txbxContent>
            </v:textbox>
            <w10:wrap type="none"/>
          </v:shape>
        </w:pict>
      </w:r>
      <w:r>
        <w:rPr>
          <w:rFonts w:ascii="Arial"/>
          <w:color w:val="231F20"/>
          <w:w w:val="105"/>
          <w:sz w:val="14"/>
        </w:rPr>
        <w:t>1.0</w:t>
      </w:r>
    </w:p>
    <w:p>
      <w:pPr>
        <w:tabs>
          <w:tab w:pos="11015" w:val="left" w:leader="none"/>
        </w:tabs>
        <w:spacing w:before="1"/>
        <w:ind w:left="7886" w:right="0" w:firstLine="0"/>
        <w:jc w:val="left"/>
        <w:rPr>
          <w:rFonts w:ascii="Arial"/>
          <w:sz w:val="20"/>
        </w:rPr>
      </w:pPr>
      <w:r>
        <w:rPr/>
        <w:pict>
          <v:group style="position:absolute;margin-left:315.000488pt;margin-top:10.943869pt;width:239.7pt;height:44.7pt;mso-position-horizontal-relative:page;mso-position-vertical-relative:paragraph;z-index:-177688" coordorigin="6300,219" coordsize="4794,894">
            <v:line style="position:absolute" from="7148,270" to="6609,270" stroked="true" strokeweight="1.716pt" strokecolor="#231f20">
              <v:stroke dashstyle="solid"/>
            </v:line>
            <v:shape style="position:absolute;left:6530;top:218;width:159;height:103" type="#_x0000_t75" stroked="false">
              <v:imagedata r:id="rId149" o:title=""/>
            </v:shape>
            <v:rect style="position:absolute;left:6305;top:454;width:4783;height:611" filled="true" fillcolor="#7670b3" stroked="false">
              <v:fill type="solid"/>
            </v:rect>
            <v:rect style="position:absolute;left:6305;top:454;width:4783;height:611" filled="false" stroked="true" strokeweight=".185pt" strokecolor="#231f20">
              <v:stroke dashstyle="solid"/>
            </v:rect>
            <v:shape style="position:absolute;left:9848;top:401;width:1234;height:627" coordorigin="9848,401" coordsize="1234,627" path="m10082,420l9932,420,9858,476,9848,532,9988,616,10157,719,10549,878,10745,943,10914,980,11082,1027,11082,438,10325,438,10082,420xm10801,401l10558,410,10325,438,11082,438,11082,410,11007,410,10801,401xe" filled="true" fillcolor="#ffcb04" stroked="false">
              <v:path arrowok="t"/>
              <v:fill type="solid"/>
            </v:shape>
            <v:shape style="position:absolute;left:9848;top:401;width:1234;height:627" coordorigin="9848,401" coordsize="1234,627" path="m11082,1027l10914,980,10745,943,10549,878,10343,794,10157,719,9988,616,9848,532,9858,476,9932,420,10082,420,10325,438,10558,410,10801,401,11007,410,11082,410,11082,1027xe" filled="false" stroked="true" strokeweight=".185pt" strokecolor="#231f20">
              <v:path arrowok="t"/>
              <v:stroke dashstyle="solid"/>
            </v:shape>
            <v:shape style="position:absolute;left:6301;top:349;width:959;height:656" coordorigin="6302,350" coordsize="959,656" path="m6504,350l6302,350,6302,1005,6546,971,6705,921,6865,845,6983,770,7117,661,7260,551,7260,492,7184,408,6999,392,6731,375,6504,350xe" filled="true" fillcolor="#ffcb04" stroked="false">
              <v:path arrowok="t"/>
              <v:fill type="solid"/>
            </v:shape>
            <v:shape style="position:absolute;left:6301;top:349;width:959;height:656" coordorigin="6302,350" coordsize="959,656" path="m6302,1005l6546,971,6705,921,6865,845,6983,770,7117,661,7260,551,7260,492,7184,408,6999,392,6731,375,6504,350,6302,350,6302,1005xe" filled="false" stroked="true" strokeweight=".185pt" strokecolor="#231f20">
              <v:path arrowok="t"/>
              <v:stroke dashstyle="solid"/>
            </v:shape>
            <v:shape style="position:absolute;left:7170;top:407;width:2820;height:182" coordorigin="7170,407" coordsize="2820,182" path="m8871,407l7170,407,7241,478,7250,493,7253,511,7254,531,7257,549,7296,565,7650,589,8824,573,9871,573,9864,494,9867,479,9879,467,9895,456,9911,447,9930,437,9949,429,9970,423,9990,415,9501,415,8871,407xm9871,573l8824,573,9533,589,9871,573xe" filled="true" fillcolor="#cd8c5d" stroked="false">
              <v:path arrowok="t"/>
              <v:fill type="solid"/>
            </v:shape>
            <v:shape style="position:absolute;left:7170;top:407;width:2820;height:182" coordorigin="7170,407" coordsize="2820,182" path="m7170,407l8871,407,9501,415,9990,415,9970,423,9949,429,9930,437,9867,479,9864,494,9871,573,9533,589,8824,573,8344,581,7650,589,7296,565,7257,549,7254,531,7253,511,7250,493,7241,478,7170,407xe" filled="false" stroked="true" strokeweight=".185pt" strokecolor="#231f20">
              <v:path arrowok="t"/>
              <v:stroke dashstyle="solid"/>
            </v:shape>
            <v:shape style="position:absolute;left:7098;top:542;width:1379;height:129" coordorigin="7098,542" coordsize="1379,129" path="m7259,542l7195,604,7098,671,7363,671,7748,663,8005,638,8318,630,8455,630,8474,621,8476,604,8472,584,8469,583,7596,583,7341,564,7320,561,7299,555,7279,548,7259,542xm8455,577l7998,583,8469,583,8455,577xe" filled="true" fillcolor="#63908e" stroked="false">
              <v:path arrowok="t"/>
              <v:fill type="solid"/>
            </v:shape>
            <v:shape style="position:absolute;left:7098;top:542;width:1379;height:129" coordorigin="7098,542" coordsize="1379,129" path="m7259,542l7279,548,7299,555,7320,561,7341,564,7596,583,7998,583,8455,577,8472,584,8476,604,8474,621,8455,630,8318,630,8005,638,7748,663,7363,671,7098,671,7195,604,7259,542xe" filled="false" stroked="true" strokeweight=".185pt" strokecolor="#231f20">
              <v:path arrowok="t"/>
              <v:stroke dashstyle="solid"/>
            </v:shape>
            <v:shape style="position:absolute;left:8630;top:542;width:1419;height:121" coordorigin="8630,542" coordsize="1419,121" path="m10007,623l8797,623,8924,625,9065,638,9201,646,9378,663,9643,663,10049,649,10007,623xm8648,571l8632,576,8630,582,8632,594,8631,603,8652,622,8658,625,8673,630,8797,623,10007,623,9941,582,9514,582,9132,575,8676,574,8663,573,8648,571xm9876,542l9514,582,9941,582,9876,542xe" filled="true" fillcolor="#63908e" stroked="false">
              <v:path arrowok="t"/>
              <v:fill type="solid"/>
            </v:shape>
            <v:shape style="position:absolute;left:8630;top:542;width:1419;height:121" coordorigin="8630,542" coordsize="1419,121" path="m9876,542l9514,582,9132,575,8676,574,8663,573,8648,571,8637,575,8632,576,8630,582,8631,588,8632,594,8673,630,8679,629,8797,623,8924,625,9065,638,9201,646,9378,663,9643,663,10049,649,9876,542xe" filled="false" stroked="true" strokeweight=".185pt" strokecolor="#231f20">
              <v:path arrowok="t"/>
              <v:stroke dashstyle="solid"/>
            </v:shape>
            <v:shape style="position:absolute;left:6308;top:573;width:4783;height:498" coordorigin="6308,573" coordsize="4783,498" path="m10378,805l8996,805,9045,810,9349,853,9635,880,9907,887,9954,897,10005,910,10050,924,10080,931,10292,958,10624,1064,10993,1070,11084,1063,11091,1018,10895,972,10677,920,10436,829,10378,805xm6308,995l6308,1055,6459,1068,6617,1066,6809,1048,6925,996,6376,996,6308,995xm8356,626l8154,634,7979,634,7864,653,7739,664,7514,668,7099,668,7000,752,6882,832,6745,901,6638,942,6536,973,6376,996,6925,996,7089,922,7290,855,7487,817,7749,774,7814,769,7869,761,7909,754,7929,752,8164,752,8307,743,8364,734,8429,697,8481,668,8540,668,8560,630,8462,630,8356,626xm8628,584l8583,584,8712,748,8899,814,8948,805,10378,805,10187,724,10067,664,9404,664,9231,641,9122,633,8703,633,8658,618,8636,596,8628,584xm8164,752l7929,752,8010,761,8164,752xm8540,668l8481,668,8502,684,8501,746,8540,668xm10037,648l9713,648,9404,664,10067,664,10037,648xm9012,626l8839,626,8703,633,9122,633,9012,626xm8621,573l8466,577,8477,596,8477,615,8462,630,8560,630,8583,584,8628,584,8621,573xe" filled="true" fillcolor="#c7c4e2" stroked="false">
              <v:path arrowok="t"/>
              <v:fill type="solid"/>
            </v:shape>
            <v:shape style="position:absolute;left:6308;top:573;width:4783;height:498" coordorigin="6308,573" coordsize="4783,498" path="m6308,995l6308,1055,6459,1068,6617,1066,6809,1048,7089,922,7290,855,7487,817,7749,774,7814,769,7869,761,7909,754,7929,752,8010,761,8307,743,8364,734,8429,697,8481,668,8502,684,8501,746,8583,584,8712,748,8899,814,8948,805,8996,805,9045,810,9095,817,9349,853,9635,880,9907,887,9954,897,10005,910,10050,924,10080,931,10292,958,10624,1064,10993,1070,11084,1063,11091,1018,10895,972,10677,920,10436,829,10187,724,10037,648,9713,648,9404,664,9231,641,9012,626,8839,626,8703,633,8658,618,8636,596,8621,573,8466,577,8477,596,8477,615,8462,630,8356,626,8154,634,7979,634,7864,653,7739,664,7514,668,7099,668,7000,752,6882,832,6745,901,6638,942,6536,973,6376,996,6308,995xe" filled="false" stroked="true" strokeweight=".185pt" strokecolor="#231f20">
              <v:path arrowok="t"/>
              <v:stroke dashstyle="solid"/>
            </v:shape>
            <v:shape style="position:absolute;left:-118;top:10092;width:167;height:94" coordorigin="-118,10093" coordsize="167,94" path="m8582,622l8464,701m8526,618l8630,712e" filled="false" stroked="true" strokeweight="6.865pt" strokecolor="#9b95c9">
              <v:path arrowok="t"/>
              <v:stroke dashstyle="solid"/>
            </v:shape>
            <v:line style="position:absolute" from="8548,552" to="8548,1112" stroked="true" strokeweight="6.904pt" strokecolor="#9b95c9">
              <v:stroke dashstyle="solid"/>
            </v:line>
            <v:shape style="position:absolute;left:-41;top:10096;width:2195;height:76" coordorigin="-40,10096" coordsize="2195,76" path="m7489,415l9643,415m7449,491l9603,491e" filled="false" stroked="true" strokeweight="1.717pt" strokecolor="#ed1651">
              <v:path arrowok="t"/>
              <v:stroke dashstyle="shortdash"/>
            </v:shape>
            <v:line style="position:absolute" from="7317,516" to="8409,516" stroked="true" strokeweight="2.022000pt" strokecolor="#00aeef">
              <v:stroke dashstyle="solid"/>
            </v:line>
            <v:shape style="position:absolute;left:7317;top:495;width:1093;height:41" coordorigin="7317,496" coordsize="1093,41" path="m7863,496l7738,496,7623,498,7522,500,7437,503,7373,507,7317,516,7332,521,7437,529,7522,532,7623,534,7738,536,7863,536,7989,536,8103,534,8205,532,8289,529,8354,525,8409,516,8395,512,8289,503,8205,500,8103,498,7989,496,7863,496xe" filled="false" stroked="true" strokeweight=".185pt" strokecolor="#231f20">
              <v:path arrowok="t"/>
              <v:stroke dashstyle="solid"/>
            </v:shape>
            <v:line style="position:absolute" from="8753,516" to="9633,516" stroked="true" strokeweight="2.022000pt" strokecolor="#00aeef">
              <v:stroke dashstyle="solid"/>
            </v:line>
            <v:shape style="position:absolute;left:8753;top:495;width:880;height:41" coordorigin="8753,496" coordsize="880,41" path="m9193,496l9310,497,9415,499,9504,502,9573,506,9633,516,9617,522,9504,530,9415,534,9310,536,9193,536,9076,536,8971,534,8882,530,8813,526,8753,516,8769,511,8882,502,8971,499,9076,497,9193,496xe" filled="false" stroked="true" strokeweight=".185pt" strokecolor="#231f20">
              <v:path arrowok="t"/>
              <v:stroke dashstyle="solid"/>
            </v:shape>
            <v:line style="position:absolute" from="8814,420" to="9693,420" stroked="true" strokeweight="2.0230pt" strokecolor="#00aeef">
              <v:stroke dashstyle="solid"/>
            </v:line>
            <v:shape style="position:absolute;left:8813;top:400;width:880;height:41" coordorigin="8814,400" coordsize="880,41" path="m9253,400l9370,401,9475,403,9565,406,9633,410,9693,420,9678,426,9565,435,9475,438,9370,440,9253,441,9137,440,9031,438,8942,435,8874,430,8814,420,8829,415,8942,406,9031,403,9137,401,9253,400xe" filled="false" stroked="true" strokeweight=".185pt" strokecolor="#231f20">
              <v:path arrowok="t"/>
              <v:stroke dashstyle="solid"/>
            </v:shape>
            <v:line style="position:absolute" from="7489,431" to="8368,431" stroked="true" strokeweight="2.022000pt" strokecolor="#00aeef">
              <v:stroke dashstyle="solid"/>
            </v:line>
            <v:shape style="position:absolute;left:7488;top:410;width:880;height:41" coordorigin="7489,410" coordsize="880,41" path="m7929,410l8046,411,8151,413,8240,416,8308,420,8368,431,8353,436,8240,445,8151,448,8046,450,7929,451,7812,450,7707,448,7618,445,7549,441,7489,431,7504,425,7618,416,7707,413,7812,411,7929,410xe" filled="false" stroked="true" strokeweight=".185pt" strokecolor="#231f20">
              <v:path arrowok="t"/>
              <v:stroke dashstyle="solid"/>
            </v:shape>
            <v:shape style="position:absolute;left:9150;top:395;width:41;height:46" coordorigin="9150,396" coordsize="41,46" path="m9182,396l9159,396,9150,406,9150,431,9159,441,9182,441,9191,431,9191,406,9182,396xe" filled="true" fillcolor="#ed1c24" stroked="false">
              <v:path arrowok="t"/>
              <v:fill type="solid"/>
            </v:shape>
            <v:shape style="position:absolute;left:9150;top:395;width:41;height:46" coordorigin="9150,396" coordsize="41,46" path="m9171,396l9182,396,9191,406,9191,418,9191,431,9182,441,9171,441,9159,441,9150,431,9150,418,9150,406,9159,396,9171,396xe" filled="false" stroked="true" strokeweight=".185pt" strokecolor="#231f20">
              <v:path arrowok="t"/>
              <v:stroke dashstyle="solid"/>
            </v:shape>
            <v:shape style="position:absolute;left:7818;top:492;width:41;height:46" coordorigin="7818,493" coordsize="41,46" path="m7850,493l7827,493,7818,503,7818,528,7827,538,7850,538,7859,528,7859,503,7850,493xe" filled="true" fillcolor="#ed1c24" stroked="false">
              <v:path arrowok="t"/>
              <v:fill type="solid"/>
            </v:shape>
            <v:shape style="position:absolute;left:7818;top:492;width:41;height:46" coordorigin="7818,493" coordsize="41,46" path="m7839,493l7850,493,7859,503,7859,515,7859,528,7850,538,7839,538,7827,538,7818,528,7818,515,7818,503,7827,493,7839,493xe" filled="false" stroked="true" strokeweight=".185pt" strokecolor="#231f20">
              <v:path arrowok="t"/>
              <v:stroke dashstyle="solid"/>
            </v:shape>
            <v:shape style="position:absolute;left:7917;top:416;width:41;height:46" coordorigin="7917,416" coordsize="41,46" path="m7949,416l7926,416,7917,426,7917,451,7926,462,7949,462,7958,451,7958,426,7949,416xe" filled="true" fillcolor="#ed1c24" stroked="false">
              <v:path arrowok="t"/>
              <v:fill type="solid"/>
            </v:shape>
            <v:shape style="position:absolute;left:7917;top:416;width:41;height:46" coordorigin="7917,416" coordsize="41,46" path="m7937,416l7949,416,7958,426,7958,439,7958,451,7949,462,7937,462,7926,462,7917,451,7917,439,7917,426,7926,416,7937,416xe" filled="false" stroked="true" strokeweight=".185pt" strokecolor="#231f20">
              <v:path arrowok="t"/>
              <v:stroke dashstyle="solid"/>
            </v:shape>
            <v:shape style="position:absolute;left:8529;top:391;width:41;height:46" coordorigin="8529,391" coordsize="41,46" path="m8561,391l8538,391,8529,402,8529,427,8538,437,8561,437,8570,427,8570,402,8561,391xe" filled="true" fillcolor="#ed1c24" stroked="false">
              <v:path arrowok="t"/>
              <v:fill type="solid"/>
            </v:shape>
            <v:shape style="position:absolute;left:8529;top:391;width:41;height:46" coordorigin="8529,391" coordsize="41,46" path="m8550,391l8561,391,8570,402,8570,414,8570,427,8561,437,8550,437,8538,437,8529,427,8529,414,8529,402,8538,391,8550,391xe" filled="false" stroked="true" strokeweight=".185pt" strokecolor="#231f20">
              <v:path arrowok="t"/>
              <v:stroke dashstyle="solid"/>
            </v:shape>
            <v:shape style="position:absolute;left:7694;top:616;width:41;height:46" coordorigin="7694,616" coordsize="41,46" path="m7726,616l7703,616,7694,627,7694,652,7703,662,7726,662,7735,652,7735,627,7726,616xe" filled="true" fillcolor="#ed1c24" stroked="false">
              <v:path arrowok="t"/>
              <v:fill type="solid"/>
            </v:shape>
            <v:shape style="position:absolute;left:7694;top:616;width:41;height:46" coordorigin="7694,616" coordsize="41,46" path="m7715,616l7726,616,7735,627,7735,639,7735,652,7726,662,7715,662,7703,662,7694,652,7694,639,7694,627,7703,616,7715,616xe" filled="false" stroked="true" strokeweight=".185pt" strokecolor="#231f20">
              <v:path arrowok="t"/>
              <v:stroke dashstyle="solid"/>
            </v:shape>
            <v:shape style="position:absolute;left:9405;top:585;width:41;height:46" coordorigin="9405,585" coordsize="41,46" path="m9437,585l9414,585,9405,595,9405,621,9414,631,9437,631,9446,621,9446,595,9437,585xe" filled="true" fillcolor="#ed1c24" stroked="false">
              <v:path arrowok="t"/>
              <v:fill type="solid"/>
            </v:shape>
            <v:shape style="position:absolute;left:9405;top:585;width:41;height:46" coordorigin="9405,585" coordsize="41,46" path="m9425,585l9437,585,9446,595,9446,608,9446,621,9437,631,9425,631,9414,631,9405,621,9405,608,9405,595,9414,585,9425,585xe" filled="false" stroked="true" strokeweight=".185pt" strokecolor="#231f20">
              <v:path arrowok="t"/>
              <v:stroke dashstyle="solid"/>
            </v:shape>
            <w10:wrap type="none"/>
          </v:group>
        </w:pict>
      </w:r>
      <w:r>
        <w:rPr/>
        <w:pict>
          <v:shape style="position:absolute;margin-left:246.003036pt;margin-top:3.968693pt;width:29.9pt;height:5.8pt;mso-position-horizontal-relative:page;mso-position-vertical-relative:paragraph;z-index:5680;rotation:35" type="#_x0000_t136" fillcolor="#231f20" stroked="f">
            <o:extrusion v:ext="view" autorotationcenter="t"/>
            <v:textpath style="font-family:&amp;quot;Arial&amp;quot;;font-size:5pt;v-text-kern:t;mso-text-shadow:auto;font-weight:bold" string="100 tonnes"/>
            <w10:wrap type="none"/>
          </v:shape>
        </w:pict>
      </w:r>
      <w:r>
        <w:rPr>
          <w:rFonts w:ascii="Arial"/>
          <w:b/>
          <w:color w:val="231F20"/>
          <w:sz w:val="12"/>
        </w:rPr>
        <w:t>Failed, or</w:t>
      </w:r>
      <w:r>
        <w:rPr>
          <w:rFonts w:ascii="Arial"/>
          <w:b/>
          <w:color w:val="231F20"/>
          <w:spacing w:val="3"/>
          <w:sz w:val="12"/>
        </w:rPr>
        <w:t> </w:t>
      </w:r>
      <w:r>
        <w:rPr>
          <w:rFonts w:ascii="Arial"/>
          <w:b/>
          <w:color w:val="231F20"/>
          <w:sz w:val="12"/>
        </w:rPr>
        <w:t>Incipient</w:t>
      </w:r>
      <w:r>
        <w:rPr>
          <w:rFonts w:ascii="Arial"/>
          <w:b/>
          <w:color w:val="231F20"/>
          <w:spacing w:val="1"/>
          <w:sz w:val="12"/>
        </w:rPr>
        <w:t> </w:t>
      </w:r>
      <w:r>
        <w:rPr>
          <w:rFonts w:ascii="Arial"/>
          <w:b/>
          <w:color w:val="231F20"/>
          <w:sz w:val="12"/>
        </w:rPr>
        <w:t>Rift</w:t>
        <w:tab/>
      </w:r>
      <w:r>
        <w:rPr>
          <w:rFonts w:ascii="Arial"/>
          <w:color w:val="231F20"/>
          <w:sz w:val="20"/>
        </w:rPr>
        <w:t>A</w:t>
      </w:r>
    </w:p>
    <w:p>
      <w:pPr>
        <w:pStyle w:val="BodyText"/>
        <w:spacing w:line="102" w:lineRule="exact"/>
        <w:ind w:left="9934"/>
        <w:rPr>
          <w:rFonts w:ascii="Arial"/>
          <w:sz w:val="10"/>
        </w:rPr>
      </w:pPr>
      <w:r>
        <w:rPr>
          <w:rFonts w:ascii="Arial"/>
          <w:position w:val="-1"/>
          <w:sz w:val="10"/>
        </w:rPr>
        <w:pict>
          <v:group style="width:32.35pt;height:5.15pt;mso-position-horizontal-relative:char;mso-position-vertical-relative:line" coordorigin="0,0" coordsize="647,103">
            <v:line style="position:absolute" from="0,52" to="567,52" stroked="true" strokeweight="1.716pt" strokecolor="#231f20">
              <v:stroke dashstyle="solid"/>
            </v:line>
            <v:shape style="position:absolute;left:487;top:0;width:159;height:103" type="#_x0000_t75" stroked="false">
              <v:imagedata r:id="rId150" o:title=""/>
            </v:shape>
          </v:group>
        </w:pict>
      </w:r>
      <w:r>
        <w:rPr>
          <w:rFonts w:ascii="Arial"/>
          <w:position w:val="-1"/>
          <w:sz w:val="10"/>
        </w:rPr>
      </w:r>
    </w:p>
    <w:p>
      <w:pPr>
        <w:spacing w:before="106"/>
        <w:ind w:left="1359" w:right="0" w:firstLine="0"/>
        <w:jc w:val="left"/>
        <w:rPr>
          <w:rFonts w:ascii="Arial"/>
          <w:sz w:val="14"/>
        </w:rPr>
      </w:pPr>
      <w:r>
        <w:rPr/>
        <w:pict>
          <v:shape style="position:absolute;margin-left:235.079819pt;margin-top:5.328363pt;width:26.7pt;height:5.8pt;mso-position-horizontal-relative:page;mso-position-vertical-relative:paragraph;z-index:5704;rotation:35" type="#_x0000_t136" fillcolor="#231f20" stroked="f">
            <o:extrusion v:ext="view" autorotationcenter="t"/>
            <v:textpath style="font-family:&amp;quot;Arial&amp;quot;;font-size:5pt;v-text-kern:t;mso-text-shadow:auto;font-weight:bold" string="10 tonnes"/>
            <w10:wrap type="none"/>
          </v:shape>
        </w:pict>
      </w:r>
      <w:r>
        <w:rPr>
          <w:rFonts w:ascii="Arial"/>
          <w:color w:val="231F20"/>
          <w:w w:val="105"/>
          <w:sz w:val="14"/>
        </w:rPr>
        <w:t>0.1</w:t>
      </w:r>
    </w:p>
    <w:p>
      <w:pPr>
        <w:pStyle w:val="BodyText"/>
        <w:spacing w:before="3"/>
        <w:rPr>
          <w:rFonts w:ascii="Arial"/>
          <w:sz w:val="27"/>
        </w:rPr>
      </w:pPr>
    </w:p>
    <w:p>
      <w:pPr>
        <w:spacing w:after="0"/>
        <w:rPr>
          <w:rFonts w:ascii="Arial"/>
          <w:sz w:val="27"/>
        </w:rPr>
        <w:sectPr>
          <w:type w:val="continuous"/>
          <w:pgSz w:w="12240" w:h="15840"/>
          <w:pgMar w:top="920" w:bottom="280" w:left="0" w:right="0"/>
        </w:sectPr>
      </w:pPr>
    </w:p>
    <w:p>
      <w:pPr>
        <w:spacing w:before="102"/>
        <w:ind w:left="1343" w:right="0" w:firstLine="0"/>
        <w:jc w:val="left"/>
        <w:rPr>
          <w:rFonts w:ascii="Arial"/>
          <w:sz w:val="14"/>
        </w:rPr>
      </w:pPr>
      <w:r>
        <w:rPr/>
        <w:pict>
          <v:shape style="position:absolute;margin-left:220.511642pt;margin-top:-5.509029pt;width:20.4pt;height:5.8pt;mso-position-horizontal-relative:page;mso-position-vertical-relative:paragraph;z-index:5728;rotation:35" type="#_x0000_t136" fillcolor="#231f20" stroked="f">
            <o:extrusion v:ext="view" autorotationcenter="t"/>
            <v:textpath style="font-family:&amp;quot;Arial&amp;quot;;font-size:5pt;v-text-kern:t;mso-text-shadow:auto;font-weight:bold" string="1 tonne"/>
            <w10:wrap type="none"/>
          </v:shape>
        </w:pict>
      </w:r>
      <w:r>
        <w:rPr>
          <w:rFonts w:ascii="Arial"/>
          <w:color w:val="231F20"/>
          <w:w w:val="105"/>
          <w:sz w:val="14"/>
        </w:rPr>
        <w:t>0.0</w:t>
      </w:r>
    </w:p>
    <w:p>
      <w:pPr>
        <w:tabs>
          <w:tab w:pos="2333" w:val="left" w:leader="none"/>
          <w:tab w:pos="3121" w:val="left" w:leader="none"/>
          <w:tab w:pos="3955" w:val="left" w:leader="none"/>
          <w:tab w:pos="4726" w:val="left" w:leader="none"/>
        </w:tabs>
        <w:spacing w:before="3"/>
        <w:ind w:left="1540" w:right="0" w:firstLine="0"/>
        <w:jc w:val="left"/>
        <w:rPr>
          <w:rFonts w:ascii="Arial"/>
          <w:sz w:val="14"/>
        </w:rPr>
      </w:pPr>
      <w:r>
        <w:rPr>
          <w:rFonts w:ascii="Arial"/>
          <w:color w:val="231F20"/>
          <w:w w:val="105"/>
          <w:sz w:val="14"/>
        </w:rPr>
        <w:t>0.01</w:t>
        <w:tab/>
        <w:t>0.1</w:t>
        <w:tab/>
        <w:t>1.0</w:t>
        <w:tab/>
        <w:t>10</w:t>
        <w:tab/>
      </w:r>
      <w:r>
        <w:rPr>
          <w:rFonts w:ascii="Arial"/>
          <w:color w:val="231F20"/>
          <w:spacing w:val="-1"/>
          <w:w w:val="105"/>
          <w:sz w:val="14"/>
        </w:rPr>
        <w:t>100</w:t>
      </w:r>
    </w:p>
    <w:p>
      <w:pPr>
        <w:spacing w:before="26"/>
        <w:ind w:left="2972" w:right="0" w:firstLine="0"/>
        <w:jc w:val="left"/>
        <w:rPr>
          <w:rFonts w:ascii="Arial"/>
          <w:b/>
          <w:sz w:val="13"/>
        </w:rPr>
      </w:pPr>
      <w:r>
        <w:rPr>
          <w:rFonts w:ascii="Arial"/>
          <w:b/>
          <w:color w:val="231F20"/>
          <w:w w:val="105"/>
          <w:sz w:val="13"/>
        </w:rPr>
        <w:t>Tonnage (Mt)</w:t>
      </w:r>
    </w:p>
    <w:p>
      <w:pPr>
        <w:pStyle w:val="BodyText"/>
        <w:spacing w:before="3"/>
        <w:rPr>
          <w:rFonts w:ascii="Arial"/>
          <w:b/>
          <w:sz w:val="22"/>
        </w:rPr>
      </w:pPr>
      <w:r>
        <w:rPr/>
        <w:br w:type="column"/>
      </w:r>
      <w:r>
        <w:rPr>
          <w:rFonts w:ascii="Arial"/>
          <w:b/>
          <w:sz w:val="22"/>
        </w:rPr>
      </w:r>
    </w:p>
    <w:p>
      <w:pPr>
        <w:spacing w:before="0"/>
        <w:ind w:left="405" w:right="0" w:firstLine="0"/>
        <w:jc w:val="left"/>
        <w:rPr>
          <w:rFonts w:ascii="Arial"/>
          <w:sz w:val="14"/>
        </w:rPr>
      </w:pPr>
      <w:r>
        <w:rPr/>
        <w:pict>
          <v:shape style="position:absolute;margin-left:550.757874pt;margin-top:14.237209pt;width:6.9pt;height:11.55pt;mso-position-horizontal-relative:page;mso-position-vertical-relative:paragraph;z-index:5872" type="#_x0000_t202" filled="false" stroked="false">
            <v:textbox inset="0,0,0,0">
              <w:txbxContent>
                <w:p>
                  <w:pPr>
                    <w:pStyle w:val="BodyText"/>
                    <w:spacing w:line="229" w:lineRule="exact"/>
                    <w:rPr>
                      <w:rFonts w:ascii="Arial"/>
                    </w:rPr>
                  </w:pPr>
                  <w:r>
                    <w:rPr>
                      <w:rFonts w:ascii="Arial"/>
                      <w:color w:val="231F20"/>
                      <w:w w:val="102"/>
                    </w:rPr>
                    <w:t>B</w:t>
                  </w:r>
                </w:p>
              </w:txbxContent>
            </v:textbox>
            <w10:wrap type="none"/>
          </v:shape>
        </w:pict>
      </w:r>
      <w:r>
        <w:rPr>
          <w:rFonts w:ascii="Arial"/>
          <w:color w:val="231F20"/>
          <w:sz w:val="14"/>
        </w:rPr>
        <w:t>1,000</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spacing w:line="213" w:lineRule="auto" w:before="94"/>
        <w:ind w:left="600" w:right="0" w:firstLine="0"/>
        <w:jc w:val="right"/>
        <w:rPr>
          <w:rFonts w:ascii="Arial"/>
          <w:b/>
          <w:sz w:val="12"/>
        </w:rPr>
      </w:pPr>
      <w:r>
        <w:rPr/>
        <w:pict>
          <v:group style="position:absolute;margin-left:54pt;margin-top:10.82903pt;width:243pt;height:72.95pt;mso-position-horizontal-relative:page;mso-position-vertical-relative:paragraph;z-index:5536" coordorigin="1080,217" coordsize="4860,1459">
            <v:rect style="position:absolute;left:1080;top:249;width:4860;height:1426" filled="true" fillcolor="#ffffff" stroked="false">
              <v:fill type="solid"/>
            </v:rect>
            <v:shape style="position:absolute;left:1080;top:216;width:4860;height:1459" type="#_x0000_t202" filled="false" stroked="false">
              <v:textbox inset="0,0,0,0">
                <w:txbxContent>
                  <w:p>
                    <w:pPr>
                      <w:spacing w:line="230" w:lineRule="auto" w:before="20"/>
                      <w:ind w:left="19" w:right="16" w:firstLine="0"/>
                      <w:jc w:val="both"/>
                      <w:rPr>
                        <w:sz w:val="16"/>
                      </w:rPr>
                    </w:pPr>
                    <w:r>
                      <w:rPr>
                        <w:b/>
                        <w:color w:val="231F20"/>
                        <w:sz w:val="16"/>
                      </w:rPr>
                      <w:t>F</w:t>
                    </w:r>
                    <w:r>
                      <w:rPr>
                        <w:b/>
                        <w:color w:val="231F20"/>
                        <w:sz w:val="16"/>
                        <w:vertAlign w:val="subscript"/>
                      </w:rPr>
                      <w:t>IGURE</w:t>
                    </w:r>
                    <w:r>
                      <w:rPr>
                        <w:b/>
                        <w:color w:val="231F20"/>
                        <w:sz w:val="16"/>
                        <w:vertAlign w:val="baseline"/>
                      </w:rPr>
                      <w:t> 10. </w:t>
                    </w:r>
                    <w:r>
                      <w:rPr>
                        <w:color w:val="231F20"/>
                        <w:sz w:val="16"/>
                        <w:vertAlign w:val="baseline"/>
                      </w:rPr>
                      <w:t>Distribution of Canadian VMS deposits with respect to </w:t>
                    </w:r>
                    <w:r>
                      <w:rPr>
                        <w:b/>
                        <w:color w:val="231F20"/>
                        <w:sz w:val="16"/>
                        <w:vertAlign w:val="baseline"/>
                      </w:rPr>
                      <w:t>(A) </w:t>
                    </w:r>
                    <w:r>
                      <w:rPr>
                        <w:color w:val="231F20"/>
                        <w:sz w:val="16"/>
                        <w:vertAlign w:val="baseline"/>
                      </w:rPr>
                      <w:t>aggregate base metal grade versus tonnes and </w:t>
                    </w:r>
                    <w:r>
                      <w:rPr>
                        <w:b/>
                        <w:color w:val="231F20"/>
                        <w:sz w:val="16"/>
                        <w:vertAlign w:val="baseline"/>
                      </w:rPr>
                      <w:t>(B) </w:t>
                    </w:r>
                    <w:r>
                      <w:rPr>
                        <w:color w:val="231F20"/>
                        <w:sz w:val="16"/>
                        <w:vertAlign w:val="baseline"/>
                      </w:rPr>
                      <w:t>contained Au versus tonnes; most auriferous Au deposits contain &gt;4 g/t Au (green diamonds). Those containing over 1000 tonnes of Au (yellow diamonds) include both auriferous VMS deposits and those with moderate Au grades but large ton- nages. Giant and supergiant VMS deposits are identified by name. From National VMS database (Appendix 1).</w:t>
                    </w:r>
                  </w:p>
                </w:txbxContent>
              </v:textbox>
              <w10:wrap type="none"/>
            </v:shape>
            <w10:wrap type="none"/>
          </v:group>
        </w:pict>
      </w:r>
      <w:r>
        <w:rPr>
          <w:rFonts w:ascii="Arial"/>
          <w:b/>
          <w:color w:val="231F20"/>
          <w:sz w:val="12"/>
        </w:rPr>
        <w:t>Ocean Island</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spacing w:line="213" w:lineRule="auto" w:before="115"/>
        <w:ind w:left="286" w:right="-10" w:firstLine="105"/>
        <w:jc w:val="left"/>
        <w:rPr>
          <w:rFonts w:ascii="Arial"/>
          <w:b/>
          <w:sz w:val="12"/>
        </w:rPr>
      </w:pPr>
      <w:r>
        <w:rPr>
          <w:rFonts w:ascii="Arial"/>
          <w:b/>
          <w:color w:val="231F20"/>
          <w:sz w:val="12"/>
        </w:rPr>
        <w:t>Ocean Spreading Centre</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spacing w:line="213" w:lineRule="auto" w:before="121"/>
        <w:ind w:left="523" w:right="-12" w:hanging="97"/>
        <w:jc w:val="left"/>
        <w:rPr>
          <w:rFonts w:ascii="Arial"/>
          <w:b/>
          <w:sz w:val="12"/>
        </w:rPr>
      </w:pPr>
      <w:r>
        <w:rPr>
          <w:rFonts w:ascii="Arial"/>
          <w:b/>
          <w:color w:val="231F20"/>
          <w:sz w:val="12"/>
        </w:rPr>
        <w:t>Nascent Arc</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spacing w:line="213" w:lineRule="auto" w:before="116"/>
        <w:ind w:left="258" w:right="-13" w:hanging="64"/>
        <w:jc w:val="left"/>
        <w:rPr>
          <w:rFonts w:ascii="Arial"/>
          <w:b/>
          <w:sz w:val="12"/>
        </w:rPr>
      </w:pPr>
      <w:r>
        <w:rPr>
          <w:rFonts w:ascii="Arial"/>
          <w:b/>
          <w:color w:val="231F20"/>
          <w:sz w:val="12"/>
        </w:rPr>
        <w:t>Rifted Arc</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spacing w:line="213" w:lineRule="auto" w:before="105"/>
        <w:ind w:left="496" w:right="1548" w:firstLine="44"/>
        <w:jc w:val="center"/>
        <w:rPr>
          <w:rFonts w:ascii="Arial"/>
          <w:b/>
          <w:sz w:val="12"/>
        </w:rPr>
      </w:pPr>
      <w:r>
        <w:rPr>
          <w:rFonts w:ascii="Arial"/>
          <w:b/>
          <w:color w:val="231F20"/>
          <w:sz w:val="12"/>
        </w:rPr>
        <w:t>Back-Arc Spreading Centre</w:t>
      </w:r>
    </w:p>
    <w:p>
      <w:pPr>
        <w:spacing w:after="0" w:line="213" w:lineRule="auto"/>
        <w:jc w:val="center"/>
        <w:rPr>
          <w:rFonts w:ascii="Arial"/>
          <w:sz w:val="12"/>
        </w:rPr>
        <w:sectPr>
          <w:type w:val="continuous"/>
          <w:pgSz w:w="12240" w:h="15840"/>
          <w:pgMar w:top="920" w:bottom="280" w:left="0" w:right="0"/>
          <w:cols w:num="7" w:equalWidth="0">
            <w:col w:w="4970" w:space="40"/>
            <w:col w:w="770" w:space="39"/>
            <w:col w:w="1294" w:space="40"/>
            <w:col w:w="883" w:space="39"/>
            <w:col w:w="901" w:space="40"/>
            <w:col w:w="541" w:space="40"/>
            <w:col w:w="2643"/>
          </w:cols>
        </w:sectPr>
      </w:pPr>
    </w:p>
    <w:p>
      <w:pPr>
        <w:pStyle w:val="BodyText"/>
        <w:ind w:left="6301"/>
        <w:rPr>
          <w:rFonts w:ascii="Arial"/>
        </w:rPr>
      </w:pPr>
      <w:r>
        <w:rPr>
          <w:rFonts w:ascii="Arial"/>
        </w:rPr>
        <w:drawing>
          <wp:inline distT="0" distB="0" distL="0" distR="0">
            <wp:extent cx="3038504" cy="695325"/>
            <wp:effectExtent l="0" t="0" r="0" b="0"/>
            <wp:docPr id="55" name="image140.png" descr=""/>
            <wp:cNvGraphicFramePr>
              <a:graphicFrameLocks noChangeAspect="1"/>
            </wp:cNvGraphicFramePr>
            <a:graphic>
              <a:graphicData uri="http://schemas.openxmlformats.org/drawingml/2006/picture">
                <pic:pic>
                  <pic:nvPicPr>
                    <pic:cNvPr id="56" name="image140.png"/>
                    <pic:cNvPicPr/>
                  </pic:nvPicPr>
                  <pic:blipFill>
                    <a:blip r:embed="rId151" cstate="print"/>
                    <a:stretch>
                      <a:fillRect/>
                    </a:stretch>
                  </pic:blipFill>
                  <pic:spPr>
                    <a:xfrm>
                      <a:off x="0" y="0"/>
                      <a:ext cx="3038504" cy="695325"/>
                    </a:xfrm>
                    <a:prstGeom prst="rect">
                      <a:avLst/>
                    </a:prstGeom>
                  </pic:spPr>
                </pic:pic>
              </a:graphicData>
            </a:graphic>
          </wp:inline>
        </w:drawing>
      </w:r>
      <w:r>
        <w:rPr>
          <w:rFonts w:ascii="Arial"/>
        </w:rPr>
      </w:r>
    </w:p>
    <w:p>
      <w:pPr>
        <w:spacing w:after="0"/>
        <w:rPr>
          <w:rFonts w:ascii="Arial"/>
        </w:rPr>
        <w:sectPr>
          <w:type w:val="continuous"/>
          <w:pgSz w:w="12240" w:h="15840"/>
          <w:pgMar w:top="920" w:bottom="280" w:left="0" w:right="0"/>
        </w:sectPr>
      </w:pPr>
    </w:p>
    <w:p>
      <w:pPr>
        <w:pStyle w:val="BodyText"/>
        <w:spacing w:line="230" w:lineRule="auto" w:before="76"/>
        <w:ind w:left="1115" w:right="38" w:firstLine="216"/>
        <w:jc w:val="both"/>
      </w:pPr>
      <w:r>
        <w:rPr>
          <w:color w:val="231F20"/>
        </w:rPr>
        <w:t>Continental back-arc settings contain some of the </w:t>
      </w:r>
      <w:r>
        <w:rPr>
          <w:color w:val="231F20"/>
          <w:spacing w:val="-3"/>
        </w:rPr>
        <w:t>world’s </w:t>
      </w:r>
      <w:r>
        <w:rPr>
          <w:color w:val="231F20"/>
        </w:rPr>
        <w:t>most economically important VMS districts. These environ- ments are dominated by bimodal siliciclastic rocks ± iron formation</w:t>
      </w:r>
      <w:r>
        <w:rPr>
          <w:color w:val="231F20"/>
          <w:spacing w:val="-7"/>
        </w:rPr>
        <w:t> </w:t>
      </w:r>
      <w:r>
        <w:rPr>
          <w:color w:val="231F20"/>
        </w:rPr>
        <w:t>and</w:t>
      </w:r>
      <w:r>
        <w:rPr>
          <w:color w:val="231F20"/>
          <w:spacing w:val="-7"/>
        </w:rPr>
        <w:t> </w:t>
      </w:r>
      <w:r>
        <w:rPr>
          <w:color w:val="231F20"/>
        </w:rPr>
        <w:t>include</w:t>
      </w:r>
      <w:r>
        <w:rPr>
          <w:color w:val="231F20"/>
          <w:spacing w:val="-7"/>
        </w:rPr>
        <w:t> </w:t>
      </w:r>
      <w:r>
        <w:rPr>
          <w:color w:val="231F20"/>
        </w:rPr>
        <w:t>the</w:t>
      </w:r>
      <w:r>
        <w:rPr>
          <w:color w:val="231F20"/>
          <w:spacing w:val="-7"/>
        </w:rPr>
        <w:t> </w:t>
      </w:r>
      <w:r>
        <w:rPr>
          <w:color w:val="231F20"/>
        </w:rPr>
        <w:t>Ordovician</w:t>
      </w:r>
      <w:r>
        <w:rPr>
          <w:color w:val="231F20"/>
          <w:spacing w:val="-7"/>
        </w:rPr>
        <w:t> </w:t>
      </w:r>
      <w:r>
        <w:rPr>
          <w:color w:val="231F20"/>
        </w:rPr>
        <w:t>Bathurst</w:t>
      </w:r>
      <w:r>
        <w:rPr>
          <w:color w:val="231F20"/>
          <w:spacing w:val="-7"/>
        </w:rPr>
        <w:t> </w:t>
      </w:r>
      <w:r>
        <w:rPr>
          <w:color w:val="231F20"/>
        </w:rPr>
        <w:t>camp</w:t>
      </w:r>
      <w:r>
        <w:rPr>
          <w:color w:val="231F20"/>
          <w:spacing w:val="-7"/>
        </w:rPr>
        <w:t> </w:t>
      </w:r>
      <w:r>
        <w:rPr>
          <w:color w:val="231F20"/>
        </w:rPr>
        <w:t>of</w:t>
      </w:r>
      <w:r>
        <w:rPr>
          <w:color w:val="231F20"/>
          <w:spacing w:val="-7"/>
        </w:rPr>
        <w:t> </w:t>
      </w:r>
      <w:r>
        <w:rPr>
          <w:color w:val="231F20"/>
        </w:rPr>
        <w:t>New Brunswick (van Staal et al., 2003) and Finlayson Lake (Piercey et al., 2001). Examples outside Canada include the Archean</w:t>
      </w:r>
      <w:r>
        <w:rPr>
          <w:color w:val="231F20"/>
          <w:spacing w:val="16"/>
        </w:rPr>
        <w:t> </w:t>
      </w:r>
      <w:r>
        <w:rPr>
          <w:color w:val="231F20"/>
        </w:rPr>
        <w:t>Golden</w:t>
      </w:r>
      <w:r>
        <w:rPr>
          <w:color w:val="231F20"/>
          <w:spacing w:val="16"/>
        </w:rPr>
        <w:t> </w:t>
      </w:r>
      <w:r>
        <w:rPr>
          <w:color w:val="231F20"/>
        </w:rPr>
        <w:t>Grove</w:t>
      </w:r>
      <w:r>
        <w:rPr>
          <w:color w:val="231F20"/>
          <w:spacing w:val="16"/>
        </w:rPr>
        <w:t> </w:t>
      </w:r>
      <w:r>
        <w:rPr>
          <w:color w:val="231F20"/>
        </w:rPr>
        <w:t>camp</w:t>
      </w:r>
      <w:r>
        <w:rPr>
          <w:color w:val="231F20"/>
          <w:spacing w:val="16"/>
        </w:rPr>
        <w:t> </w:t>
      </w:r>
      <w:r>
        <w:rPr>
          <w:color w:val="231F20"/>
        </w:rPr>
        <w:t>in</w:t>
      </w:r>
      <w:r>
        <w:rPr>
          <w:color w:val="231F20"/>
          <w:spacing w:val="13"/>
        </w:rPr>
        <w:t> </w:t>
      </w:r>
      <w:r>
        <w:rPr>
          <w:color w:val="231F20"/>
          <w:spacing w:val="-3"/>
        </w:rPr>
        <w:t>Western</w:t>
      </w:r>
      <w:r>
        <w:rPr>
          <w:color w:val="231F20"/>
          <w:spacing w:val="5"/>
        </w:rPr>
        <w:t> </w:t>
      </w:r>
      <w:r>
        <w:rPr>
          <w:color w:val="231F20"/>
        </w:rPr>
        <w:t>Australia</w:t>
      </w:r>
      <w:r>
        <w:rPr>
          <w:color w:val="231F20"/>
          <w:spacing w:val="16"/>
        </w:rPr>
        <w:t> </w:t>
      </w:r>
      <w:r>
        <w:rPr>
          <w:color w:val="231F20"/>
        </w:rPr>
        <w:t>(Sharpe</w:t>
      </w:r>
    </w:p>
    <w:p>
      <w:pPr>
        <w:pStyle w:val="BodyText"/>
        <w:rPr>
          <w:sz w:val="12"/>
        </w:rPr>
      </w:pPr>
      <w:r>
        <w:rPr/>
        <w:br w:type="column"/>
      </w:r>
      <w:r>
        <w:rPr>
          <w:sz w:val="12"/>
        </w:rPr>
      </w:r>
    </w:p>
    <w:p>
      <w:pPr>
        <w:pStyle w:val="BodyText"/>
        <w:rPr>
          <w:sz w:val="12"/>
        </w:rPr>
      </w:pPr>
    </w:p>
    <w:p>
      <w:pPr>
        <w:pStyle w:val="BodyText"/>
        <w:spacing w:before="7"/>
        <w:rPr>
          <w:sz w:val="15"/>
        </w:rPr>
      </w:pPr>
    </w:p>
    <w:p>
      <w:pPr>
        <w:spacing w:line="211" w:lineRule="auto" w:before="0"/>
        <w:ind w:left="1389" w:right="448" w:hanging="275"/>
        <w:jc w:val="left"/>
        <w:rPr>
          <w:rFonts w:ascii="Arial"/>
          <w:b/>
          <w:sz w:val="12"/>
        </w:rPr>
      </w:pPr>
      <w:r>
        <w:rPr>
          <w:rFonts w:ascii="Arial"/>
          <w:b/>
          <w:color w:val="231F20"/>
          <w:sz w:val="12"/>
        </w:rPr>
        <w:t>Mature Oceanic Arc</w:t>
      </w:r>
    </w:p>
    <w:p>
      <w:pPr>
        <w:spacing w:line="131" w:lineRule="exact" w:before="0"/>
        <w:ind w:left="0" w:right="0" w:firstLine="0"/>
        <w:jc w:val="right"/>
        <w:rPr>
          <w:rFonts w:ascii="Arial"/>
          <w:b/>
          <w:sz w:val="12"/>
        </w:rPr>
      </w:pPr>
      <w:r>
        <w:rPr>
          <w:rFonts w:ascii="Arial"/>
          <w:b/>
          <w:color w:val="231F20"/>
          <w:sz w:val="12"/>
        </w:rPr>
        <w:t>Back-Arc</w:t>
      </w:r>
    </w:p>
    <w:p>
      <w:pPr>
        <w:pStyle w:val="BodyText"/>
        <w:rPr>
          <w:rFonts w:ascii="Arial"/>
          <w:b/>
          <w:sz w:val="12"/>
        </w:rPr>
      </w:pPr>
      <w:r>
        <w:rPr/>
        <w:br w:type="column"/>
      </w:r>
      <w:r>
        <w:rPr>
          <w:rFonts w:ascii="Arial"/>
          <w:b/>
          <w:sz w:val="12"/>
        </w:rPr>
      </w:r>
    </w:p>
    <w:p>
      <w:pPr>
        <w:pStyle w:val="BodyText"/>
        <w:rPr>
          <w:rFonts w:ascii="Arial"/>
          <w:b/>
          <w:sz w:val="12"/>
        </w:rPr>
      </w:pPr>
    </w:p>
    <w:p>
      <w:pPr>
        <w:pStyle w:val="BodyText"/>
        <w:spacing w:before="3"/>
        <w:rPr>
          <w:rFonts w:ascii="Arial"/>
          <w:b/>
          <w:sz w:val="11"/>
        </w:rPr>
      </w:pPr>
    </w:p>
    <w:p>
      <w:pPr>
        <w:spacing w:line="220" w:lineRule="auto" w:before="0"/>
        <w:ind w:left="531" w:right="-18" w:hanging="242"/>
        <w:jc w:val="left"/>
        <w:rPr>
          <w:rFonts w:ascii="Arial"/>
          <w:b/>
          <w:sz w:val="12"/>
        </w:rPr>
      </w:pPr>
      <w:r>
        <w:rPr>
          <w:rFonts w:ascii="Arial"/>
          <w:b/>
          <w:color w:val="231F20"/>
          <w:sz w:val="12"/>
        </w:rPr>
        <w:t>Continental Arc</w:t>
      </w:r>
    </w:p>
    <w:p>
      <w:pPr>
        <w:pStyle w:val="BodyText"/>
        <w:spacing w:before="4"/>
        <w:rPr>
          <w:rFonts w:ascii="Arial"/>
          <w:b/>
          <w:sz w:val="29"/>
        </w:rPr>
      </w:pPr>
      <w:r>
        <w:rPr/>
        <w:br w:type="column"/>
      </w:r>
      <w:r>
        <w:rPr>
          <w:rFonts w:ascii="Arial"/>
          <w:b/>
          <w:sz w:val="29"/>
        </w:rPr>
      </w:r>
    </w:p>
    <w:p>
      <w:pPr>
        <w:pStyle w:val="BodyText"/>
        <w:ind w:left="98"/>
        <w:jc w:val="center"/>
        <w:rPr>
          <w:rFonts w:ascii="Arial"/>
        </w:rPr>
      </w:pPr>
      <w:r>
        <w:rPr>
          <w:rFonts w:ascii="Arial"/>
          <w:color w:val="231F20"/>
          <w:w w:val="102"/>
        </w:rPr>
        <w:t>C</w:t>
      </w:r>
    </w:p>
    <w:p>
      <w:pPr>
        <w:spacing w:line="213" w:lineRule="auto" w:before="115"/>
        <w:ind w:left="415" w:right="1398" w:firstLine="40"/>
        <w:jc w:val="left"/>
        <w:rPr>
          <w:rFonts w:ascii="Arial"/>
          <w:b/>
          <w:sz w:val="12"/>
        </w:rPr>
      </w:pPr>
      <w:r>
        <w:rPr/>
        <w:pict>
          <v:group style="position:absolute;margin-left:317.717499pt;margin-top:5.0555pt;width:238.8pt;height:73.7pt;mso-position-horizontal-relative:page;mso-position-vertical-relative:paragraph;z-index:-177784" coordorigin="6354,101" coordsize="4776,1474">
            <v:shape style="position:absolute;left:6354;top:101;width:4776;height:940" type="#_x0000_t75" stroked="false">
              <v:imagedata r:id="rId152" o:title=""/>
            </v:shape>
            <v:shape style="position:absolute;left:8338;top:1377;width:336;height:186" coordorigin="8339,1377" coordsize="336,186" path="m8507,1377l8441,1384,8388,1404,8352,1434,8339,1470,8352,1506,8388,1535,8441,1555,8507,1563,8572,1555,8625,1535,8661,1506,8674,1470,8661,1434,8625,1404,8572,1384,8507,1377xe" filled="true" fillcolor="#d2ab67" stroked="false">
              <v:path arrowok="t"/>
              <v:fill type="solid"/>
            </v:shape>
            <v:shape style="position:absolute;left:8338;top:1377;width:336;height:186" coordorigin="8339,1377" coordsize="336,186" path="m8507,1377l8572,1384,8625,1404,8661,1434,8674,1470,8661,1506,8625,1535,8572,1555,8507,1563,8441,1555,8388,1535,8352,1506,8339,1470,8352,1434,8388,1404,8441,1384,8507,1377xe" filled="false" stroked="true" strokeweight=".185pt" strokecolor="#231f20">
              <v:path arrowok="t"/>
              <v:stroke dashstyle="solid"/>
            </v:shape>
            <v:shape style="position:absolute;left:8333;top:1242;width:336;height:186" coordorigin="8334,1243" coordsize="336,186" path="m8501,1243l8436,1250,8383,1270,8347,1299,8334,1335,8347,1371,8383,1401,8436,1421,8501,1428,8566,1421,8620,1401,8656,1371,8669,1335,8656,1299,8620,1270,8566,1250,8501,1243xe" filled="true" fillcolor="#ffcb04" stroked="false">
              <v:path arrowok="t"/>
              <v:fill type="solid"/>
            </v:shape>
            <v:shape style="position:absolute;left:8333;top:1242;width:336;height:186" coordorigin="8334,1243" coordsize="336,186" path="m8501,1243l8566,1250,8620,1270,8656,1299,8669,1335,8656,1371,8620,1401,8566,1421,8501,1428,8436,1421,8383,1401,8347,1371,8334,1335,8347,1299,8383,1270,8436,1250,8501,1243xe" filled="false" stroked="true" strokeweight=".185pt" strokecolor="#231f20">
              <v:path arrowok="t"/>
              <v:stroke dashstyle="solid"/>
            </v:shape>
            <v:shape style="position:absolute;left:8333;top:1112;width:336;height:186" coordorigin="8333,1113" coordsize="336,186" path="m8501,1113l8436,1120,8382,1140,8346,1169,8333,1205,8346,1241,8382,1271,8436,1291,8501,1298,8566,1291,8619,1271,8655,1241,8668,1205,8655,1169,8619,1140,8566,1120,8501,1113xe" filled="true" fillcolor="#fff685" stroked="false">
              <v:path arrowok="t"/>
              <v:fill type="solid"/>
            </v:shape>
            <v:shape style="position:absolute;left:8333;top:1112;width:336;height:186" coordorigin="8333,1113" coordsize="336,186" path="m8501,1113l8566,1120,8619,1140,8655,1169,8668,1205,8655,1241,8619,1271,8566,1291,8501,1298,8436,1291,8382,1271,8346,1241,8333,1205,8346,1169,8382,1140,8436,1120,8501,1113xe" filled="false" stroked="true" strokeweight=".185pt" strokecolor="#231f20">
              <v:path arrowok="t"/>
              <v:stroke dashstyle="solid"/>
            </v:shape>
            <v:shape style="position:absolute;left:6432;top:1380;width:336;height:186" coordorigin="6432,1381" coordsize="336,186" path="m6600,1381l6534,1388,6481,1408,6445,1437,6432,1473,6445,1509,6481,1539,6534,1559,6600,1566,6665,1559,6718,1539,6754,1509,6767,1473,6754,1437,6718,1408,6665,1388,6600,1381xe" filled="true" fillcolor="#7670b3" stroked="false">
              <v:path arrowok="t"/>
              <v:fill type="solid"/>
            </v:shape>
            <v:shape style="position:absolute;left:6432;top:1380;width:336;height:186" coordorigin="6432,1381" coordsize="336,186" path="m6600,1381l6665,1388,6718,1408,6754,1437,6767,1473,6754,1509,6718,1539,6665,1559,6600,1566,6534,1559,6481,1539,6445,1509,6432,1473,6445,1437,6481,1408,6534,1388,6600,1381xe" filled="false" stroked="true" strokeweight=".185pt" strokecolor="#231f20">
              <v:path arrowok="t"/>
              <v:stroke dashstyle="solid"/>
            </v:shape>
            <v:shape style="position:absolute;left:6427;top:1247;width:336;height:186" coordorigin="6428,1248" coordsize="336,186" path="m6595,1248l6530,1255,6477,1275,6441,1304,6428,1340,6441,1376,6477,1406,6530,1426,6595,1433,6660,1426,6714,1406,6750,1376,6763,1340,6750,1304,6714,1275,6660,1255,6595,1248xe" filled="true" fillcolor="#c7c4e2" stroked="false">
              <v:path arrowok="t"/>
              <v:fill type="solid"/>
            </v:shape>
            <v:shape style="position:absolute;left:6427;top:1247;width:336;height:186" coordorigin="6428,1248" coordsize="336,186" path="m6595,1248l6660,1255,6714,1275,6750,1304,6763,1340,6750,1376,6714,1406,6660,1426,6595,1433,6530,1426,6477,1406,6441,1376,6428,1340,6441,1304,6477,1275,6530,1255,6595,1248xe" filled="false" stroked="true" strokeweight=".185pt" strokecolor="#231f20">
              <v:path arrowok="t"/>
              <v:stroke dashstyle="solid"/>
            </v:shape>
            <v:shape style="position:absolute;left:6429;top:1104;width:336;height:186" coordorigin="6430,1104" coordsize="336,186" path="m6597,1104l6532,1112,6479,1131,6443,1161,6430,1197,6443,1233,6479,1263,6532,1282,6597,1290,6663,1282,6716,1263,6752,1233,6765,1197,6752,1161,6716,1131,6663,1112,6597,1104xe" filled="true" fillcolor="#63908e" stroked="false">
              <v:path arrowok="t"/>
              <v:fill type="solid"/>
            </v:shape>
            <v:shape style="position:absolute;left:6429;top:1104;width:336;height:186" coordorigin="6430,1104" coordsize="336,186" path="m6597,1104l6663,1112,6716,1131,6752,1161,6765,1197,6752,1233,6716,1263,6663,1282,6597,1290,6532,1282,6479,1263,6443,1233,6430,1197,6443,1161,6479,1131,6532,1112,6597,1104xe" filled="false" stroked="true" strokeweight=".185pt" strokecolor="#231f20">
              <v:path arrowok="t"/>
              <v:stroke dashstyle="solid"/>
            </v:shape>
            <v:shape style="position:absolute;left:9933;top:1387;width:336;height:186" coordorigin="9934,1388" coordsize="336,186" path="m10101,1388l10036,1395,9983,1415,9947,1444,9934,1480,9947,1516,9983,1546,10036,1566,10101,1573,10167,1566,10220,1546,10256,1516,10269,1480,10256,1444,10220,1415,10167,1395,10101,1388xe" filled="true" fillcolor="#00aeef" stroked="false">
              <v:path arrowok="t"/>
              <v:fill type="solid"/>
            </v:shape>
            <v:shape style="position:absolute;left:9933;top:1387;width:336;height:186" coordorigin="9934,1388" coordsize="336,186" path="m10101,1388l10167,1395,10220,1415,10256,1444,10269,1480,10256,1516,10220,1546,10167,1566,10101,1573,10036,1566,9983,1546,9947,1516,9934,1480,9947,1444,9983,1415,10036,1395,10101,1388xe" filled="false" stroked="true" strokeweight=".185pt" strokecolor="#231f20">
              <v:path arrowok="t"/>
              <v:stroke dashstyle="solid"/>
            </v:shape>
            <v:shape style="position:absolute;left:9928;top:1247;width:336;height:186" coordorigin="9928,1247" coordsize="336,186" path="m10096,1247l10030,1254,9977,1274,9941,1304,9928,1340,9941,1376,9977,1405,10030,1425,10096,1433,10161,1425,10214,1405,10250,1376,10263,1340,10250,1304,10214,1274,10161,1254,10096,1247xe" filled="true" fillcolor="#f8abad" stroked="false">
              <v:path arrowok="t"/>
              <v:fill type="solid"/>
            </v:shape>
            <v:shape style="position:absolute;left:9928;top:1247;width:336;height:186" coordorigin="9928,1247" coordsize="336,186" path="m10096,1247l10161,1254,10214,1274,10250,1304,10263,1340,10250,1376,10214,1405,10161,1425,10096,1433,10030,1425,9977,1405,9941,1376,9928,1340,9941,1304,9977,1274,10030,1254,10096,1247xe" filled="false" stroked="true" strokeweight=".185pt" strokecolor="#231f20">
              <v:path arrowok="t"/>
              <v:stroke dashstyle="solid"/>
            </v:shape>
            <v:shape style="position:absolute;left:9944;top:1104;width:336;height:186" coordorigin="9944,1104" coordsize="336,186" path="m10112,1104l10046,1112,9993,1132,9957,1161,9944,1197,9957,1233,9993,1263,10046,1283,10112,1290,10177,1283,10230,1263,10266,1233,10279,1197,10266,1161,10230,1132,10177,1112,10112,1104xe" filled="true" fillcolor="#ffffff" stroked="false">
              <v:path arrowok="t"/>
              <v:fill type="solid"/>
            </v:shape>
            <v:shape style="position:absolute;left:9944;top:1104;width:336;height:186" coordorigin="9944,1104" coordsize="336,186" path="m10112,1104l10177,1112,10230,1132,10266,1161,10279,1197,10266,1233,10230,1263,10177,1283,10112,1290,10046,1283,9993,1263,9957,1233,9944,1197,9957,1161,9993,1132,10046,1112,10112,1104xe" filled="false" stroked="true" strokeweight=".185pt" strokecolor="#231f20">
              <v:path arrowok="t"/>
              <v:stroke dashstyle="solid"/>
            </v:shape>
            <v:line style="position:absolute" from="9946,1184" to="10258,1184" stroked="true" strokeweight="1.717pt" strokecolor="#ed1651">
              <v:stroke dashstyle="shortdash"/>
            </v:line>
            <w10:wrap type="none"/>
          </v:group>
        </w:pict>
      </w:r>
      <w:r>
        <w:rPr>
          <w:rFonts w:ascii="Arial"/>
          <w:b/>
          <w:color w:val="231F20"/>
          <w:sz w:val="12"/>
        </w:rPr>
        <w:t>Back-Arc Extension</w:t>
      </w:r>
    </w:p>
    <w:p>
      <w:pPr>
        <w:spacing w:after="0" w:line="213" w:lineRule="auto"/>
        <w:jc w:val="left"/>
        <w:rPr>
          <w:rFonts w:ascii="Arial"/>
          <w:sz w:val="12"/>
        </w:rPr>
        <w:sectPr>
          <w:type w:val="continuous"/>
          <w:pgSz w:w="12240" w:h="15840"/>
          <w:pgMar w:top="920" w:bottom="280" w:left="0" w:right="0"/>
          <w:cols w:num="4" w:equalWidth="0">
            <w:col w:w="5998" w:space="329"/>
            <w:col w:w="2476" w:space="39"/>
            <w:col w:w="951" w:space="40"/>
            <w:col w:w="2407"/>
          </w:cols>
        </w:sectPr>
      </w:pPr>
    </w:p>
    <w:p>
      <w:pPr>
        <w:pStyle w:val="BodyText"/>
        <w:spacing w:line="230" w:lineRule="auto"/>
        <w:ind w:left="1115"/>
        <w:jc w:val="both"/>
      </w:pPr>
      <w:r>
        <w:rPr>
          <w:color w:val="231F20"/>
        </w:rPr>
        <w:t>and Gemmell, 2002), the Paleoproterozoic Bergslagen dis- trict</w:t>
      </w:r>
      <w:r>
        <w:rPr>
          <w:color w:val="231F20"/>
          <w:spacing w:val="-9"/>
        </w:rPr>
        <w:t> </w:t>
      </w:r>
      <w:r>
        <w:rPr>
          <w:color w:val="231F20"/>
        </w:rPr>
        <w:t>of</w:t>
      </w:r>
      <w:r>
        <w:rPr>
          <w:color w:val="231F20"/>
          <w:spacing w:val="-9"/>
        </w:rPr>
        <w:t> </w:t>
      </w:r>
      <w:r>
        <w:rPr>
          <w:color w:val="231F20"/>
        </w:rPr>
        <w:t>Sweden</w:t>
      </w:r>
      <w:r>
        <w:rPr>
          <w:color w:val="231F20"/>
          <w:spacing w:val="-9"/>
        </w:rPr>
        <w:t> </w:t>
      </w:r>
      <w:r>
        <w:rPr>
          <w:color w:val="231F20"/>
        </w:rPr>
        <w:t>(Allen</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1996b),</w:t>
      </w:r>
      <w:r>
        <w:rPr>
          <w:color w:val="231F20"/>
          <w:spacing w:val="-9"/>
        </w:rPr>
        <w:t> </w:t>
      </w:r>
      <w:r>
        <w:rPr>
          <w:color w:val="231F20"/>
        </w:rPr>
        <w:t>the</w:t>
      </w:r>
      <w:r>
        <w:rPr>
          <w:color w:val="231F20"/>
          <w:spacing w:val="-9"/>
        </w:rPr>
        <w:t> </w:t>
      </w:r>
      <w:r>
        <w:rPr>
          <w:color w:val="231F20"/>
        </w:rPr>
        <w:t>Cambro-Ordovician Mount Windsor district of Queensland (Doyle and McPhie, </w:t>
      </w:r>
      <w:r>
        <w:rPr>
          <w:color w:val="231F20"/>
          <w:spacing w:val="1"/>
        </w:rPr>
        <w:t>2000), </w:t>
      </w:r>
      <w:r>
        <w:rPr>
          <w:color w:val="231F20"/>
        </w:rPr>
        <w:t>the Devono-Mississippian Iberian Pyrite </w:t>
      </w:r>
      <w:r>
        <w:rPr>
          <w:color w:val="231F20"/>
          <w:spacing w:val="2"/>
        </w:rPr>
        <w:t>Belt </w:t>
      </w:r>
      <w:r>
        <w:rPr>
          <w:color w:val="231F20"/>
        </w:rPr>
        <w:t>(Carvalho</w:t>
      </w:r>
      <w:r>
        <w:rPr>
          <w:color w:val="231F20"/>
          <w:spacing w:val="6"/>
        </w:rPr>
        <w:t> </w:t>
      </w:r>
      <w:r>
        <w:rPr>
          <w:color w:val="231F20"/>
        </w:rPr>
        <w:t>et</w:t>
      </w:r>
      <w:r>
        <w:rPr>
          <w:color w:val="231F20"/>
          <w:spacing w:val="6"/>
        </w:rPr>
        <w:t> </w:t>
      </w:r>
      <w:r>
        <w:rPr>
          <w:color w:val="231F20"/>
        </w:rPr>
        <w:t>al.,</w:t>
      </w:r>
      <w:r>
        <w:rPr>
          <w:color w:val="231F20"/>
          <w:spacing w:val="6"/>
        </w:rPr>
        <w:t> </w:t>
      </w:r>
      <w:r>
        <w:rPr>
          <w:color w:val="231F20"/>
        </w:rPr>
        <w:t>1999),</w:t>
      </w:r>
      <w:r>
        <w:rPr>
          <w:color w:val="231F20"/>
          <w:spacing w:val="6"/>
        </w:rPr>
        <w:t> </w:t>
      </w:r>
      <w:r>
        <w:rPr>
          <w:color w:val="231F20"/>
        </w:rPr>
        <w:t>and</w:t>
      </w:r>
      <w:r>
        <w:rPr>
          <w:color w:val="231F20"/>
          <w:spacing w:val="6"/>
        </w:rPr>
        <w:t> </w:t>
      </w:r>
      <w:r>
        <w:rPr>
          <w:color w:val="231F20"/>
        </w:rPr>
        <w:t>parts</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Devonian</w:t>
      </w:r>
      <w:r>
        <w:rPr>
          <w:color w:val="231F20"/>
          <w:spacing w:val="6"/>
        </w:rPr>
        <w:t> </w:t>
      </w:r>
      <w:r>
        <w:rPr>
          <w:color w:val="231F20"/>
        </w:rPr>
        <w:t>Southern</w:t>
      </w:r>
    </w:p>
    <w:p>
      <w:pPr>
        <w:spacing w:line="256" w:lineRule="auto" w:before="78"/>
        <w:ind w:left="804" w:right="-2" w:firstLine="3"/>
        <w:jc w:val="left"/>
        <w:rPr>
          <w:rFonts w:ascii="Arial"/>
          <w:sz w:val="11"/>
        </w:rPr>
      </w:pPr>
      <w:r>
        <w:rPr/>
        <w:br w:type="column"/>
      </w:r>
      <w:r>
        <w:rPr>
          <w:rFonts w:ascii="Arial"/>
          <w:color w:val="231F20"/>
          <w:w w:val="105"/>
          <w:sz w:val="11"/>
        </w:rPr>
        <w:t>Ocean crust Lithosphere Asthenosphere</w:t>
      </w:r>
    </w:p>
    <w:p>
      <w:pPr>
        <w:pStyle w:val="BodyText"/>
        <w:spacing w:before="7"/>
        <w:rPr>
          <w:rFonts w:ascii="Arial"/>
          <w:sz w:val="16"/>
        </w:rPr>
      </w:pPr>
    </w:p>
    <w:p>
      <w:pPr>
        <w:spacing w:before="0"/>
        <w:ind w:left="738" w:right="0" w:firstLine="0"/>
        <w:jc w:val="left"/>
        <w:rPr>
          <w:rFonts w:ascii="Arial"/>
          <w:b/>
          <w:sz w:val="11"/>
        </w:rPr>
      </w:pPr>
      <w:r>
        <w:rPr/>
        <w:pict>
          <v:group style="position:absolute;margin-left:331.275513pt;margin-top:.622633pt;width:2.9pt;height:3.2pt;mso-position-horizontal-relative:page;mso-position-vertical-relative:paragraph;z-index:5608" coordorigin="6626,12" coordsize="58,64">
            <v:shape style="position:absolute;left:6627;top:14;width:54;height:60" coordorigin="6627,14" coordsize="54,60" path="m6654,14l6644,17,6635,23,6629,32,6627,44,6629,56,6635,65,6644,71,6654,74,6665,71,6673,65,6679,56,6681,44,6679,32,6673,23,6665,17,6654,14xe" filled="true" fillcolor="#ed1c24" stroked="false">
              <v:path arrowok="t"/>
              <v:fill type="solid"/>
            </v:shape>
            <v:shape style="position:absolute;left:6627;top:14;width:54;height:60" coordorigin="6627,14" coordsize="54,60" path="m6654,14l6665,17,6673,23,6679,32,6681,44,6679,56,6673,65,6665,71,6654,74,6644,71,6635,65,6629,56,6627,44,6629,32,6635,23,6644,17,6654,14xe" filled="false" stroked="true" strokeweight=".185pt" strokecolor="#231f20">
              <v:path arrowok="t"/>
              <v:stroke dashstyle="solid"/>
            </v:shape>
            <w10:wrap type="none"/>
          </v:group>
        </w:pict>
      </w:r>
      <w:r>
        <w:rPr>
          <w:rFonts w:ascii="Arial"/>
          <w:color w:val="231F20"/>
          <w:w w:val="105"/>
          <w:sz w:val="11"/>
        </w:rPr>
        <w:t>VMS deposi</w:t>
      </w:r>
      <w:r>
        <w:rPr>
          <w:rFonts w:ascii="Arial"/>
          <w:b/>
          <w:color w:val="231F20"/>
          <w:w w:val="105"/>
          <w:sz w:val="11"/>
        </w:rPr>
        <w:t>ts</w:t>
      </w:r>
    </w:p>
    <w:p>
      <w:pPr>
        <w:spacing w:line="249" w:lineRule="auto" w:before="83"/>
        <w:ind w:left="1065" w:right="0" w:hanging="7"/>
        <w:jc w:val="left"/>
        <w:rPr>
          <w:rFonts w:ascii="Arial"/>
          <w:sz w:val="11"/>
        </w:rPr>
      </w:pPr>
      <w:r>
        <w:rPr/>
        <w:br w:type="column"/>
      </w:r>
      <w:r>
        <w:rPr>
          <w:rFonts w:ascii="Arial"/>
          <w:color w:val="231F20"/>
          <w:w w:val="105"/>
          <w:sz w:val="11"/>
        </w:rPr>
        <w:t>Arc assemblage Continental crust Siliciclastic strata</w:t>
      </w:r>
    </w:p>
    <w:p>
      <w:pPr>
        <w:pStyle w:val="BodyText"/>
        <w:rPr>
          <w:rFonts w:ascii="Arial"/>
          <w:sz w:val="12"/>
        </w:rPr>
      </w:pPr>
    </w:p>
    <w:p>
      <w:pPr>
        <w:spacing w:line="314" w:lineRule="auto" w:before="91"/>
        <w:ind w:left="800" w:right="428" w:firstLine="0"/>
        <w:jc w:val="left"/>
        <w:rPr>
          <w:rFonts w:ascii="Arial"/>
          <w:sz w:val="11"/>
        </w:rPr>
      </w:pPr>
      <w:r>
        <w:rPr/>
        <w:pict>
          <v:group style="position:absolute;margin-left:414.311493pt;margin-top:6.336831pt;width:4.9pt;height:11.65pt;mso-position-horizontal-relative:page;mso-position-vertical-relative:paragraph;z-index:5584" coordorigin="8286,127" coordsize="98,233">
            <v:shape style="position:absolute;left:8290;top:128;width:65;height:72" coordorigin="8290,129" coordsize="65,72" path="m8322,129l8310,131,8300,139,8293,150,8290,164,8293,178,8300,190,8310,197,8322,200,8335,197,8345,190,8352,178,8355,164,8352,150,8345,139,8335,131,8322,129xe" filled="true" fillcolor="#a6ce39" stroked="false">
              <v:path arrowok="t"/>
              <v:fill type="solid"/>
            </v:shape>
            <v:shape style="position:absolute;left:8290;top:128;width:65;height:72" coordorigin="8290,129" coordsize="65,72" path="m8322,129l8335,131,8345,139,8352,150,8355,164,8352,178,8345,190,8335,197,8322,200,8310,197,8300,190,8293,178,8290,164,8293,150,8300,139,8310,131,8322,129xe" filled="false" stroked="true" strokeweight=".185pt" strokecolor="#231f20">
              <v:path arrowok="t"/>
              <v:stroke dashstyle="solid"/>
            </v:shape>
            <v:shape style="position:absolute;left:8288;top:267;width:95;height:91" coordorigin="8288,268" coordsize="95,91" path="m8382,300l8288,300,8317,322,8306,358,8335,336,8358,336,8353,322,8382,300xm8358,336l8335,336,8364,357,8358,336xm8335,268l8324,300,8346,300,8335,268xe" filled="true" fillcolor="#0095da" stroked="false">
              <v:path arrowok="t"/>
              <v:fill type="solid"/>
            </v:shape>
            <v:shape style="position:absolute;left:8288;top:267;width:95;height:91" coordorigin="8288,268" coordsize="95,91" path="m8306,358l8317,322,8288,300,8324,300,8335,268,8346,300,8382,300,8353,322,8364,357,8335,336,8306,358xe" filled="false" stroked="true" strokeweight=".185pt" strokecolor="#231f20">
              <v:path arrowok="t"/>
              <v:stroke dashstyle="solid"/>
            </v:shape>
            <w10:wrap type="none"/>
          </v:group>
        </w:pict>
      </w:r>
      <w:r>
        <w:rPr>
          <w:rFonts w:ascii="Arial"/>
          <w:color w:val="231F20"/>
          <w:w w:val="105"/>
          <w:sz w:val="11"/>
        </w:rPr>
        <w:t>Epithermal Au Orogeni</w:t>
      </w:r>
      <w:r>
        <w:rPr>
          <w:rFonts w:ascii="Arial"/>
          <w:b/>
          <w:color w:val="231F20"/>
          <w:w w:val="105"/>
          <w:sz w:val="11"/>
        </w:rPr>
        <w:t>c </w:t>
      </w:r>
      <w:r>
        <w:rPr>
          <w:rFonts w:ascii="Arial"/>
          <w:color w:val="231F20"/>
          <w:w w:val="105"/>
          <w:sz w:val="11"/>
        </w:rPr>
        <w:t>Au</w:t>
      </w:r>
    </w:p>
    <w:p>
      <w:pPr>
        <w:tabs>
          <w:tab w:pos="651" w:val="left" w:leader="none"/>
        </w:tabs>
        <w:spacing w:line="247" w:lineRule="auto" w:before="87"/>
        <w:ind w:left="654" w:right="1268" w:hanging="357"/>
        <w:jc w:val="left"/>
        <w:rPr>
          <w:rFonts w:ascii="Arial" w:hAnsi="Arial"/>
          <w:sz w:val="11"/>
        </w:rPr>
      </w:pPr>
      <w:r>
        <w:rPr/>
        <w:br w:type="column"/>
      </w:r>
      <w:r>
        <w:rPr>
          <w:rFonts w:ascii="Arial" w:hAnsi="Arial"/>
          <w:b/>
          <w:color w:val="231F20"/>
          <w:w w:val="90"/>
          <w:sz w:val="11"/>
        </w:rPr>
        <w:t>□</w:t>
        <w:tab/>
      </w:r>
      <w:r>
        <w:rPr>
          <w:rFonts w:ascii="Arial" w:hAnsi="Arial"/>
          <w:color w:val="231F20"/>
          <w:sz w:val="11"/>
        </w:rPr>
        <w:t>Fe-formation Granitoid</w:t>
      </w:r>
    </w:p>
    <w:p>
      <w:pPr>
        <w:spacing w:line="249" w:lineRule="auto" w:before="6"/>
        <w:ind w:left="660" w:right="1089" w:firstLine="0"/>
        <w:jc w:val="left"/>
        <w:rPr>
          <w:rFonts w:ascii="Arial"/>
          <w:sz w:val="11"/>
        </w:rPr>
      </w:pPr>
      <w:r>
        <w:rPr>
          <w:rFonts w:ascii="Arial"/>
          <w:color w:val="231F20"/>
          <w:w w:val="105"/>
          <w:sz w:val="11"/>
        </w:rPr>
        <w:t>Mafic-ultramafi</w:t>
      </w:r>
      <w:r>
        <w:rPr>
          <w:rFonts w:ascii="Arial"/>
          <w:b/>
          <w:color w:val="231F20"/>
          <w:w w:val="105"/>
          <w:sz w:val="11"/>
        </w:rPr>
        <w:t>c </w:t>
      </w:r>
      <w:r>
        <w:rPr>
          <w:rFonts w:ascii="Arial"/>
          <w:color w:val="231F20"/>
          <w:w w:val="105"/>
          <w:sz w:val="11"/>
        </w:rPr>
        <w:t>intrusion</w:t>
      </w:r>
    </w:p>
    <w:p>
      <w:pPr>
        <w:spacing w:line="266" w:lineRule="auto" w:before="85"/>
        <w:ind w:left="339" w:right="1342" w:firstLine="2"/>
        <w:jc w:val="left"/>
        <w:rPr>
          <w:rFonts w:ascii="Arial"/>
          <w:sz w:val="11"/>
        </w:rPr>
      </w:pPr>
      <w:r>
        <w:rPr/>
        <w:pict>
          <v:group style="position:absolute;margin-left:491.534485pt;margin-top:5.243141pt;width:4.05pt;height:3.55pt;mso-position-horizontal-relative:page;mso-position-vertical-relative:paragraph;z-index:5632" coordorigin="9831,105" coordsize="81,71">
            <v:rect style="position:absolute;left:9832;top:106;width:77;height:68" filled="true" fillcolor="#cd8c5d" stroked="false">
              <v:fill type="solid"/>
            </v:rect>
            <v:rect style="position:absolute;left:9832;top:106;width:77;height:68" filled="false" stroked="true" strokeweight=".185pt" strokecolor="#231f20">
              <v:stroke dashstyle="solid"/>
            </v:rect>
            <w10:wrap type="none"/>
          </v:group>
        </w:pict>
      </w:r>
      <w:r>
        <w:rPr>
          <w:rFonts w:ascii="Arial"/>
          <w:color w:val="231F20"/>
          <w:w w:val="105"/>
          <w:sz w:val="11"/>
        </w:rPr>
        <w:t>Porphyry Cu-Au (+ skarns)</w:t>
      </w:r>
    </w:p>
    <w:p>
      <w:pPr>
        <w:spacing w:after="0" w:line="266" w:lineRule="auto"/>
        <w:jc w:val="left"/>
        <w:rPr>
          <w:rFonts w:ascii="Arial"/>
          <w:sz w:val="11"/>
        </w:rPr>
        <w:sectPr>
          <w:type w:val="continuous"/>
          <w:pgSz w:w="12240" w:h="15840"/>
          <w:pgMar w:top="920" w:bottom="280" w:left="0" w:right="0"/>
          <w:cols w:num="4" w:equalWidth="0">
            <w:col w:w="5958" w:space="40"/>
            <w:col w:w="1599" w:space="39"/>
            <w:col w:w="1974" w:space="39"/>
            <w:col w:w="2591"/>
          </w:cols>
        </w:sectPr>
      </w:pPr>
    </w:p>
    <w:p>
      <w:pPr>
        <w:pStyle w:val="BodyText"/>
        <w:spacing w:line="230" w:lineRule="auto"/>
        <w:ind w:left="1115" w:right="3"/>
      </w:pPr>
      <w:r>
        <w:rPr>
          <w:color w:val="231F20"/>
        </w:rPr>
        <w:t>Urals VMS districts of Russia and Kazakhstan (Herrington et al., 2002; Franklin et al., 2005).</w:t>
      </w:r>
    </w:p>
    <w:p>
      <w:pPr>
        <w:pStyle w:val="BodyText"/>
        <w:spacing w:line="230" w:lineRule="auto" w:before="25"/>
        <w:ind w:left="1115" w:firstLine="216"/>
        <w:jc w:val="both"/>
      </w:pPr>
      <w:r>
        <w:rPr>
          <w:color w:val="231F20"/>
        </w:rPr>
        <w:t>Other extensional environments may form in post-accre- tion and/or successor arc settings. Crustal thickening of an accreted ocean-floor-arc assemblage can result in modifica- tion of the angle of descent of the subducting slab, cessation of subduction along a section of plate boundary, or a change in the direction of approach of the colliding plates (Ziegler, 1992;</w:t>
      </w:r>
      <w:r>
        <w:rPr>
          <w:color w:val="231F20"/>
          <w:spacing w:val="-9"/>
        </w:rPr>
        <w:t> </w:t>
      </w:r>
      <w:r>
        <w:rPr>
          <w:color w:val="231F20"/>
        </w:rPr>
        <w:t>Hamilton,</w:t>
      </w:r>
      <w:r>
        <w:rPr>
          <w:color w:val="231F20"/>
          <w:spacing w:val="-10"/>
        </w:rPr>
        <w:t> </w:t>
      </w:r>
      <w:r>
        <w:rPr>
          <w:color w:val="231F20"/>
        </w:rPr>
        <w:t>1995).</w:t>
      </w:r>
      <w:r>
        <w:rPr>
          <w:color w:val="231F20"/>
          <w:spacing w:val="-13"/>
        </w:rPr>
        <w:t> </w:t>
      </w:r>
      <w:r>
        <w:rPr>
          <w:color w:val="231F20"/>
        </w:rPr>
        <w:t>This</w:t>
      </w:r>
      <w:r>
        <w:rPr>
          <w:color w:val="231F20"/>
          <w:spacing w:val="-9"/>
        </w:rPr>
        <w:t> </w:t>
      </w:r>
      <w:r>
        <w:rPr>
          <w:color w:val="231F20"/>
        </w:rPr>
        <w:t>process</w:t>
      </w:r>
      <w:r>
        <w:rPr>
          <w:color w:val="231F20"/>
          <w:spacing w:val="-9"/>
        </w:rPr>
        <w:t> </w:t>
      </w:r>
      <w:r>
        <w:rPr>
          <w:color w:val="231F20"/>
        </w:rPr>
        <w:t>results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generation of strike-slip </w:t>
      </w:r>
      <w:r>
        <w:rPr>
          <w:color w:val="231F20"/>
          <w:spacing w:val="1"/>
        </w:rPr>
        <w:t>basins </w:t>
      </w:r>
      <w:r>
        <w:rPr>
          <w:color w:val="231F20"/>
        </w:rPr>
        <w:t>in the </w:t>
      </w:r>
      <w:r>
        <w:rPr>
          <w:color w:val="231F20"/>
          <w:spacing w:val="1"/>
        </w:rPr>
        <w:t>older </w:t>
      </w:r>
      <w:r>
        <w:rPr>
          <w:color w:val="231F20"/>
        </w:rPr>
        <w:t>arc </w:t>
      </w:r>
      <w:r>
        <w:rPr>
          <w:color w:val="231F20"/>
          <w:spacing w:val="2"/>
        </w:rPr>
        <w:t>assemblages. </w:t>
      </w:r>
      <w:r>
        <w:rPr>
          <w:color w:val="231F20"/>
        </w:rPr>
        <w:t>Magmatism associated with these successor arc basins may be associated with mineralized porphyry systems (Richards, 2003), and the basins may be infilled with both subaqueous and subaerial bimodal volcanic rocks. This can result in</w:t>
      </w:r>
      <w:r>
        <w:rPr>
          <w:color w:val="231F20"/>
          <w:spacing w:val="13"/>
        </w:rPr>
        <w:t> </w:t>
      </w:r>
      <w:r>
        <w:rPr>
          <w:color w:val="231F20"/>
        </w:rPr>
        <w:t>the</w:t>
      </w:r>
    </w:p>
    <w:p>
      <w:pPr>
        <w:spacing w:line="142" w:lineRule="exact" w:before="0"/>
        <w:ind w:left="320"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11. </w:t>
      </w:r>
      <w:r>
        <w:rPr>
          <w:color w:val="231F20"/>
          <w:sz w:val="16"/>
          <w:vertAlign w:val="baseline"/>
        </w:rPr>
        <w:t>There are three principal tectonic environments in which VMS</w:t>
      </w:r>
    </w:p>
    <w:p>
      <w:pPr>
        <w:spacing w:line="230" w:lineRule="auto" w:before="2"/>
        <w:ind w:left="320" w:right="1096" w:firstLine="0"/>
        <w:jc w:val="both"/>
        <w:rPr>
          <w:sz w:val="16"/>
        </w:rPr>
      </w:pPr>
      <w:r>
        <w:rPr>
          <w:color w:val="231F20"/>
          <w:sz w:val="16"/>
        </w:rPr>
        <w:t>deposits form, each representing a stage in the formation of the Earth’s crust. </w:t>
      </w:r>
      <w:r>
        <w:rPr>
          <w:b/>
          <w:color w:val="231F20"/>
          <w:sz w:val="16"/>
        </w:rPr>
        <w:t>(A) </w:t>
      </w:r>
      <w:r>
        <w:rPr>
          <w:color w:val="231F20"/>
          <w:sz w:val="16"/>
        </w:rPr>
        <w:t>Early Earth evolution was dominated by mantle plume activity, during</w:t>
      </w:r>
      <w:r>
        <w:rPr>
          <w:color w:val="231F20"/>
          <w:spacing w:val="-5"/>
          <w:sz w:val="16"/>
        </w:rPr>
        <w:t> </w:t>
      </w:r>
      <w:r>
        <w:rPr>
          <w:color w:val="231F20"/>
          <w:sz w:val="16"/>
        </w:rPr>
        <w:t>which</w:t>
      </w:r>
      <w:r>
        <w:rPr>
          <w:color w:val="231F20"/>
          <w:spacing w:val="-5"/>
          <w:sz w:val="16"/>
        </w:rPr>
        <w:t> </w:t>
      </w:r>
      <w:r>
        <w:rPr>
          <w:color w:val="231F20"/>
          <w:sz w:val="16"/>
        </w:rPr>
        <w:t>numerous</w:t>
      </w:r>
      <w:r>
        <w:rPr>
          <w:color w:val="231F20"/>
          <w:spacing w:val="-5"/>
          <w:sz w:val="16"/>
        </w:rPr>
        <w:t> </w:t>
      </w:r>
      <w:r>
        <w:rPr>
          <w:color w:val="231F20"/>
          <w:sz w:val="16"/>
        </w:rPr>
        <w:t>incipient</w:t>
      </w:r>
      <w:r>
        <w:rPr>
          <w:color w:val="231F20"/>
          <w:spacing w:val="-4"/>
          <w:sz w:val="16"/>
        </w:rPr>
        <w:t> </w:t>
      </w:r>
      <w:r>
        <w:rPr>
          <w:color w:val="231F20"/>
          <w:sz w:val="16"/>
        </w:rPr>
        <w:t>rift</w:t>
      </w:r>
      <w:r>
        <w:rPr>
          <w:color w:val="231F20"/>
          <w:spacing w:val="-5"/>
          <w:sz w:val="16"/>
        </w:rPr>
        <w:t> </w:t>
      </w:r>
      <w:r>
        <w:rPr>
          <w:color w:val="231F20"/>
          <w:sz w:val="16"/>
        </w:rPr>
        <w:t>events</w:t>
      </w:r>
      <w:r>
        <w:rPr>
          <w:color w:val="231F20"/>
          <w:spacing w:val="-4"/>
          <w:sz w:val="16"/>
        </w:rPr>
        <w:t> </w:t>
      </w:r>
      <w:r>
        <w:rPr>
          <w:color w:val="231F20"/>
          <w:sz w:val="16"/>
        </w:rPr>
        <w:t>formed</w:t>
      </w:r>
      <w:r>
        <w:rPr>
          <w:color w:val="231F20"/>
          <w:spacing w:val="-5"/>
          <w:sz w:val="16"/>
        </w:rPr>
        <w:t> </w:t>
      </w:r>
      <w:r>
        <w:rPr>
          <w:color w:val="231F20"/>
          <w:sz w:val="16"/>
        </w:rPr>
        <w:t>basins</w:t>
      </w:r>
      <w:r>
        <w:rPr>
          <w:color w:val="231F20"/>
          <w:spacing w:val="-5"/>
          <w:sz w:val="16"/>
        </w:rPr>
        <w:t> </w:t>
      </w:r>
      <w:r>
        <w:rPr>
          <w:color w:val="231F20"/>
          <w:sz w:val="16"/>
        </w:rPr>
        <w:t>characterized</w:t>
      </w:r>
      <w:r>
        <w:rPr>
          <w:color w:val="231F20"/>
          <w:spacing w:val="-4"/>
          <w:sz w:val="16"/>
        </w:rPr>
        <w:t> </w:t>
      </w:r>
      <w:r>
        <w:rPr>
          <w:color w:val="231F20"/>
          <w:sz w:val="16"/>
        </w:rPr>
        <w:t>by early ocean crust in the form of primitive basalts and/or komatiites, fol- lowed by siliciclastic infill and associated Fe-formation and mafic-ultra- mafic sills. In the Phanerozoic, similar types of incipient rifts formed dur- ing transpressional, back-arc rifting (Windy Craggy). </w:t>
      </w:r>
      <w:r>
        <w:rPr>
          <w:b/>
          <w:color w:val="231F20"/>
          <w:sz w:val="16"/>
        </w:rPr>
        <w:t>(B) </w:t>
      </w:r>
      <w:r>
        <w:rPr>
          <w:color w:val="231F20"/>
          <w:sz w:val="16"/>
        </w:rPr>
        <w:t>The formation of ocean basins was associated with the development of ocean spreading cen- ters</w:t>
      </w:r>
      <w:r>
        <w:rPr>
          <w:color w:val="231F20"/>
          <w:spacing w:val="-4"/>
          <w:sz w:val="16"/>
        </w:rPr>
        <w:t> </w:t>
      </w:r>
      <w:r>
        <w:rPr>
          <w:color w:val="231F20"/>
          <w:sz w:val="16"/>
        </w:rPr>
        <w:t>along</w:t>
      </w:r>
      <w:r>
        <w:rPr>
          <w:color w:val="231F20"/>
          <w:spacing w:val="-4"/>
          <w:sz w:val="16"/>
        </w:rPr>
        <w:t> </w:t>
      </w:r>
      <w:r>
        <w:rPr>
          <w:color w:val="231F20"/>
          <w:sz w:val="16"/>
        </w:rPr>
        <w:t>which</w:t>
      </w:r>
      <w:r>
        <w:rPr>
          <w:color w:val="231F20"/>
          <w:spacing w:val="-4"/>
          <w:sz w:val="16"/>
        </w:rPr>
        <w:t> </w:t>
      </w:r>
      <w:r>
        <w:rPr>
          <w:color w:val="231F20"/>
          <w:sz w:val="16"/>
        </w:rPr>
        <w:t>mafic-dominated</w:t>
      </w:r>
      <w:r>
        <w:rPr>
          <w:color w:val="231F20"/>
          <w:spacing w:val="-7"/>
          <w:sz w:val="16"/>
        </w:rPr>
        <w:t> </w:t>
      </w:r>
      <w:r>
        <w:rPr>
          <w:color w:val="231F20"/>
          <w:sz w:val="16"/>
        </w:rPr>
        <w:t>VMS</w:t>
      </w:r>
      <w:r>
        <w:rPr>
          <w:color w:val="231F20"/>
          <w:spacing w:val="-4"/>
          <w:sz w:val="16"/>
        </w:rPr>
        <w:t> </w:t>
      </w:r>
      <w:r>
        <w:rPr>
          <w:color w:val="231F20"/>
          <w:sz w:val="16"/>
        </w:rPr>
        <w:t>deposits</w:t>
      </w:r>
      <w:r>
        <w:rPr>
          <w:color w:val="231F20"/>
          <w:spacing w:val="-4"/>
          <w:sz w:val="16"/>
        </w:rPr>
        <w:t> </w:t>
      </w:r>
      <w:r>
        <w:rPr>
          <w:color w:val="231F20"/>
          <w:sz w:val="16"/>
        </w:rPr>
        <w:t>formed.</w:t>
      </w:r>
      <w:r>
        <w:rPr>
          <w:color w:val="231F20"/>
          <w:spacing w:val="-7"/>
          <w:sz w:val="16"/>
        </w:rPr>
        <w:t> </w:t>
      </w:r>
      <w:r>
        <w:rPr>
          <w:color w:val="231F20"/>
          <w:sz w:val="16"/>
        </w:rPr>
        <w:t>The</w:t>
      </w:r>
      <w:r>
        <w:rPr>
          <w:color w:val="231F20"/>
          <w:spacing w:val="-4"/>
          <w:sz w:val="16"/>
        </w:rPr>
        <w:t> </w:t>
      </w:r>
      <w:r>
        <w:rPr>
          <w:color w:val="231F20"/>
          <w:sz w:val="16"/>
        </w:rPr>
        <w:t>development of subduction zones resulted in oceanic arc formation with associated extensional domains in which bimodal mafic, bimodal felsic, and mafic- dominated VMS deposits formed. </w:t>
      </w:r>
      <w:r>
        <w:rPr>
          <w:b/>
          <w:color w:val="231F20"/>
          <w:sz w:val="16"/>
        </w:rPr>
        <w:t>(C) </w:t>
      </w:r>
      <w:r>
        <w:rPr>
          <w:color w:val="231F20"/>
          <w:sz w:val="16"/>
        </w:rPr>
        <w:t>The formation of mature arc and ocean-continent subduction fronts resulted in successor arc and continental volcanic arc assemblages that host most of the felsic-dominated and bimodal siliciclastic deposits. Thin black arrows represent direction of extension and thick, pale arrows represent mantle movement. Modified from Groves et al.,</w:t>
      </w:r>
      <w:r>
        <w:rPr>
          <w:color w:val="231F20"/>
          <w:spacing w:val="12"/>
          <w:sz w:val="16"/>
        </w:rPr>
        <w:t> </w:t>
      </w:r>
      <w:r>
        <w:rPr>
          <w:color w:val="231F20"/>
          <w:sz w:val="16"/>
        </w:rPr>
        <w:t>1998</w:t>
      </w:r>
    </w:p>
    <w:p>
      <w:pPr>
        <w:spacing w:after="0" w:line="230" w:lineRule="auto"/>
        <w:jc w:val="both"/>
        <w:rPr>
          <w:sz w:val="16"/>
        </w:rPr>
        <w:sectPr>
          <w:type w:val="continuous"/>
          <w:pgSz w:w="12240" w:h="15840"/>
          <w:pgMar w:top="920" w:bottom="280" w:left="0" w:right="0"/>
          <w:cols w:num="2" w:equalWidth="0">
            <w:col w:w="5960" w:space="40"/>
            <w:col w:w="6240"/>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7"/>
        </w:rPr>
      </w:pPr>
    </w:p>
    <w:p>
      <w:pPr>
        <w:spacing w:before="1"/>
        <w:ind w:left="1140" w:right="0" w:firstLine="0"/>
        <w:jc w:val="left"/>
        <w:rPr>
          <w:rFonts w:ascii="Arial"/>
          <w:sz w:val="12"/>
        </w:rPr>
      </w:pPr>
      <w:r>
        <w:rPr/>
        <w:pict>
          <v:group style="position:absolute;margin-left:54.448002pt;margin-top:-79.030006pt;width:73.6pt;height:69.3pt;mso-position-horizontal-relative:page;mso-position-vertical-relative:paragraph;z-index:6016" coordorigin="1089,-1581" coordsize="1472,1386">
            <v:shape style="position:absolute;left:1231;top:-473;width:262;height:262" type="#_x0000_t75" stroked="false">
              <v:imagedata r:id="rId153" o:title=""/>
            </v:shape>
            <v:shape style="position:absolute;left:1596;top:-1140;width:586;height:639" coordorigin="1597,-1139" coordsize="586,639" path="m2034,-631l2023,-682,1995,-723,1954,-751,1916,-759,1923,-795,1913,-846,1885,-888,1843,-916,1792,-926,1741,-916,1700,-888,1672,-846,1665,-813,1635,-793,1607,-751,1597,-700,1607,-649,1635,-608,1677,-580,1728,-570,1779,-580,1782,-582,1782,-580,1810,-538,1852,-510,1903,-500,1954,-510,1995,-538,2023,-580,2034,-631m2182,-1008l2172,-1059,2144,-1101,2102,-1129,2051,-1139,2000,-1129,1959,-1101,1931,-1059,1921,-1008,1931,-957,1959,-916,2000,-888,2051,-878,2102,-888,2144,-916,2172,-957,2182,-1008e" filled="true" fillcolor="#f9b297" stroked="false">
              <v:path arrowok="t"/>
              <v:fill type="solid"/>
            </v:shape>
            <v:shape style="position:absolute;left:1719;top:-717;width:29;height:29" coordorigin="1720,-717" coordsize="29,29" path="m1726,-717l1720,-710,1720,-695,1726,-688,1742,-688,1748,-695,1748,-710,1742,-716,1726,-717xe" filled="true" fillcolor="#231f20" stroked="false">
              <v:path arrowok="t"/>
              <v:fill type="solid"/>
            </v:shape>
            <v:shape style="position:absolute;left:1719;top:-717;width:29;height:29" coordorigin="1720,-717" coordsize="29,29" path="m1720,-702l1720,-710,1726,-717,1734,-717,1742,-716,1748,-710,1748,-702,1748,-695,1742,-688,1734,-688,1726,-688,1720,-695,1720,-702xe" filled="false" stroked="true" strokeweight=".223pt" strokecolor="#231f20">
              <v:path arrowok="t"/>
              <v:stroke dashstyle="solid"/>
            </v:shape>
            <v:shape style="position:absolute;left:1780;top:-803;width:29;height:29" coordorigin="1780,-802" coordsize="29,29" path="m1787,-802l1780,-796,1780,-780,1786,-774,1802,-774,1808,-780,1808,-796,1802,-802,1787,-802xe" filled="true" fillcolor="#231f20" stroked="false">
              <v:path arrowok="t"/>
              <v:fill type="solid"/>
            </v:shape>
            <v:shape style="position:absolute;left:1780;top:-803;width:29;height:29" coordorigin="1780,-802" coordsize="29,29" path="m1780,-788l1780,-796,1787,-802,1794,-802,1802,-802,1808,-796,1808,-788,1808,-780,1802,-774,1794,-774,1786,-774,1780,-780,1780,-788xe" filled="false" stroked="true" strokeweight=".223pt" strokecolor="#231f20">
              <v:path arrowok="t"/>
              <v:stroke dashstyle="solid"/>
            </v:shape>
            <v:shape style="position:absolute;left:1897;top:-643;width:29;height:29" coordorigin="1897,-642" coordsize="29,29" path="m1904,-642l1897,-636,1897,-620,1904,-614,1919,-614,1926,-620,1926,-636,1919,-642,1904,-642xe" filled="true" fillcolor="#231f20" stroked="false">
              <v:path arrowok="t"/>
              <v:fill type="solid"/>
            </v:shape>
            <v:shape style="position:absolute;left:1897;top:-643;width:29;height:29" coordorigin="1897,-642" coordsize="29,29" path="m1897,-628l1897,-636,1904,-642,1912,-642,1919,-642,1926,-636,1926,-628,1926,-620,1919,-614,1912,-614,1904,-614,1897,-620,1897,-628xe" filled="false" stroked="true" strokeweight=".223pt" strokecolor="#231f20">
              <v:path arrowok="t"/>
              <v:stroke dashstyle="solid"/>
            </v:shape>
            <v:shape style="position:absolute;left:2045;top:-923;width:29;height:29" coordorigin="2045,-922" coordsize="29,29" path="m2052,-922l2045,-916,2045,-900,2052,-894,2067,-894,2073,-900,2073,-916,2067,-922,2052,-922xe" filled="true" fillcolor="#231f20" stroked="false">
              <v:path arrowok="t"/>
              <v:fill type="solid"/>
            </v:shape>
            <v:shape style="position:absolute;left:2045;top:-923;width:29;height:29" coordorigin="2045,-922" coordsize="29,29" path="m2045,-908l2045,-916,2052,-922,2059,-922,2067,-922,2074,-916,2074,-908,2073,-900,2067,-894,2059,-894,2052,-894,2045,-900,2045,-908xe" filled="false" stroked="true" strokeweight=".223pt" strokecolor="#231f20">
              <v:path arrowok="t"/>
              <v:stroke dashstyle="solid"/>
            </v:shape>
            <v:shape style="position:absolute;left:1088;top:-1093;width:437;height:516" type="#_x0000_t75" stroked="false">
              <v:imagedata r:id="rId154" o:title=""/>
            </v:shape>
            <v:shape style="position:absolute;left:1124;top:-1574;width:1429;height:1371" coordorigin="1124,-1573" coordsize="1429,1371" path="m1304,-307l1265,-370,1231,-438,1194,-518,1161,-601,1142,-678,1133,-740,1126,-814,1124,-892,1124,-933,1134,-1015,1160,-1081,1200,-1141,1251,-1188,1310,-1227,1354,-1257,1446,-1316,1544,-1361,1648,-1393,1699,-1409,1744,-1422,1789,-1435,1834,-1448,1879,-1462,1920,-1477,1961,-1495,2002,-1512,2080,-1538,2157,-1558,2236,-1569,2321,-1573,2363,-1571,2425,-1562,2482,-1538,2529,-1477,2546,-1413,2553,-1332,2550,-1293,2523,-1187,2484,-1085,2436,-990,2378,-902,2332,-846,2281,-792,2229,-741,2177,-690,2088,-612,2043,-573,2000,-534,1952,-490,1904,-446,1856,-402,1808,-359,1726,-290,1639,-229,1573,-211,1550,-208,1526,-206,1502,-203,1478,-203,1455,-205,1383,-236,1330,-276,1316,-291,1304,-307xe" filled="false" stroked="true" strokeweight=".743pt" strokecolor="#231f20">
              <v:path arrowok="t"/>
              <v:stroke dashstyle="shortdash"/>
            </v:shape>
            <v:shape style="position:absolute;left:-176;top:12530;width:852;height:831" coordorigin="-176,12530" coordsize="852,831" path="m1684,-669l1667,-625,1640,-562,1628,-525,1627,-501,1645,-494,1668,-509,1692,-530,1721,-558,1752,-602,1774,-625,1779,-657,1755,-650,1727,-614,1703,-579,1680,-562,1685,-582,1703,-608,1716,-641,1716,-666,1707,-684,1684,-669xm1790,-629l1786,-605,1797,-590,1818,-608,1836,-636,1845,-657,1862,-697,1872,-733,1872,-773,1850,-752,1833,-706,1821,-672,1802,-650,1790,-629xm1508,-421l1509,-376,1528,-345,1555,-333,1545,-361,1545,-392,1557,-416,1548,-441,1520,-430,1508,-421xm1898,-848l1898,-799,1907,-765,1923,-765,1931,-793,1928,-828,1924,-865,1910,-872,1898,-848xm1957,-637l1990,-673,2009,-716,2030,-759,2054,-793,2084,-811,2142,-817,2188,-817,2241,-821,2277,-855,2316,-874,2336,-892,2356,-923,2359,-956,2351,-983,2320,-1007,2305,-1024,2304,-1059,2292,-1082,2276,-1111,2236,-1100,2192,-1066,2157,-1025,2093,-949,2041,-893,2005,-833,1990,-772,1981,-717,1960,-673,1957,-637xm2000,-1076l1983,-1032,1979,-996,1992,-984,2015,-1012,2034,-1051,2031,-1091,2012,-1088,2000,-1076xm2112,-1119l2099,-1092,2091,-1059,2091,-1032,2105,-1032,2131,-1063,2152,-1104,2170,-1135,2170,-1163,2155,-1163,2131,-1135,2112,-1119xe" filled="false" stroked="true" strokeweight=".144pt" strokecolor="#231f20">
              <v:path arrowok="t"/>
              <v:stroke dashstyle="shortdot"/>
            </v:shape>
            <v:shape style="position:absolute;left:2344;top:-1305;width:109;height:109" type="#_x0000_t75" stroked="false">
              <v:imagedata r:id="rId155" o:title=""/>
            </v:shape>
            <v:shape style="position:absolute;left:169;top:12188;width:558;height:406" coordorigin="169,12188" coordsize="558,406" path="m2101,-1268l2096,-1234,2100,-1200,2108,-1176,2127,-1195,2129,-1240,2132,-1283,2123,-1304,2101,-1268xm2327,-1458l2331,-1431,2355,-1434,2379,-1441,2395,-1459,2410,-1482,2404,-1505,2370,-1498,2340,-1477,2327,-1458xm2157,-1356l2154,-1316,2171,-1300,2185,-1310,2192,-1335,2206,-1347,2221,-1343,2216,-1310,2200,-1292,2200,-1279,2213,-1260,2259,-1280,2276,-1310,2277,-1338,2276,-1364,2283,-1396,2285,-1423,2248,-1423,2206,-1407,2181,-1385,2157,-1356xm1853,-1327l1865,-1283,1906,-1243,1925,-1222,1928,-1186,1928,-1130,1937,-1100,1961,-1124,1968,-1171,1972,-1216,1952,-1263,1917,-1295,1894,-1320,1874,-1330,1853,-1327xe" filled="false" stroked="true" strokeweight=".144pt" strokecolor="#231f20">
              <v:path arrowok="t"/>
              <v:stroke dashstyle="shortdot"/>
            </v:shape>
            <v:shape style="position:absolute;left:1391;top:-1256;width:118;height:218" type="#_x0000_t75" stroked="false">
              <v:imagedata r:id="rId156" o:title=""/>
            </v:shape>
            <v:shape style="position:absolute;left:1211;top:-1060;width:75;height:163" coordorigin="1211,-1060" coordsize="75,163" path="m1214,-1057l1211,-993,1238,-961,1257,-915,1286,-897,1265,-949,1246,-991,1238,-1031,1231,-1060,1214,-1057xe" filled="false" stroked="true" strokeweight=".144pt" strokecolor="#231f20">
              <v:path arrowok="t"/>
              <v:stroke dashstyle="shortdot"/>
            </v:shape>
            <v:shape style="position:absolute;left:1207;top:-968;width:19;height:19" coordorigin="1208,-968" coordsize="19,19" path="m1208,-958l1208,-963,1212,-968,1217,-968,1222,-968,1226,-963,1226,-958,1226,-953,1222,-949,1217,-949,1212,-949,1208,-953,1208,-958xe" filled="false" stroked="true" strokeweight=".145pt" strokecolor="#fff200">
              <v:path arrowok="t"/>
              <v:stroke dashstyle="solid"/>
            </v:shape>
            <v:shape style="position:absolute;left:1198;top:-971;width:29;height:29" coordorigin="1199,-971" coordsize="29,29" path="m1205,-971l1199,-965,1199,-949,1205,-943,1221,-943,1227,-949,1227,-965,1221,-971,1205,-971xe" filled="true" fillcolor="#231f20" stroked="false">
              <v:path arrowok="t"/>
              <v:fill type="solid"/>
            </v:shape>
            <v:shape style="position:absolute;left:1198;top:-971;width:29;height:29" coordorigin="1199,-971" coordsize="29,29" path="m1199,-957l1199,-965,1205,-971,1213,-971,1221,-971,1227,-965,1227,-957,1227,-949,1221,-943,1213,-943,1205,-943,1199,-949,1199,-957xe" filled="false" stroked="true" strokeweight=".223pt" strokecolor="#231f20">
              <v:path arrowok="t"/>
              <v:stroke dashstyle="solid"/>
            </v:shape>
            <v:shape style="position:absolute;left:1366;top:-820;width:29;height:29" coordorigin="1366,-820" coordsize="29,29" path="m1373,-820l1366,-813,1366,-798,1373,-792,1388,-791,1395,-798,1395,-813,1388,-820,1373,-820xe" filled="true" fillcolor="#231f20" stroked="false">
              <v:path arrowok="t"/>
              <v:fill type="solid"/>
            </v:shape>
            <v:shape style="position:absolute;left:1366;top:-820;width:29;height:29" coordorigin="1366,-820" coordsize="29,29" path="m1366,-806l1366,-813,1373,-820,1381,-820,1388,-820,1395,-813,1395,-806,1395,-798,1388,-791,1381,-791,1373,-792,1366,-798,1366,-806xe" filled="false" stroked="true" strokeweight=".223pt" strokecolor="#231f20">
              <v:path arrowok="t"/>
              <v:stroke dashstyle="solid"/>
            </v:shape>
            <v:shape style="position:absolute;left:1371;top:-728;width:29;height:29" coordorigin="1371,-727" coordsize="29,29" path="m1378,-727l1371,-721,1371,-705,1378,-699,1393,-699,1400,-705,1400,-721,1393,-727,1378,-727xe" filled="true" fillcolor="#231f20" stroked="false">
              <v:path arrowok="t"/>
              <v:fill type="solid"/>
            </v:shape>
            <v:shape style="position:absolute;left:1371;top:-728;width:29;height:29" coordorigin="1371,-727" coordsize="29,29" path="m1371,-713l1371,-721,1378,-727,1386,-727,1393,-727,1400,-721,1400,-713,1400,-705,1393,-699,1386,-699,1378,-699,1371,-705,1371,-713xe" filled="false" stroked="true" strokeweight=".223pt" strokecolor="#231f20">
              <v:path arrowok="t"/>
              <v:stroke dashstyle="solid"/>
            </v:shape>
            <v:shape style="position:absolute;left:1348;top:-354;width:29;height:29" coordorigin="1348,-353" coordsize="29,29" path="m1355,-353l1348,-347,1348,-331,1355,-325,1370,-325,1377,-331,1377,-347,1370,-353,1355,-353xe" filled="true" fillcolor="#231f20" stroked="false">
              <v:path arrowok="t"/>
              <v:fill type="solid"/>
            </v:shape>
            <v:shape style="position:absolute;left:1348;top:-354;width:29;height:29" coordorigin="1348,-353" coordsize="29,29" path="m1348,-339l1348,-347,1355,-353,1362,-353,1370,-353,1377,-347,1377,-339,1377,-331,1370,-325,1362,-325,1355,-325,1348,-331,1348,-339xe" filled="false" stroked="true" strokeweight=".223pt" strokecolor="#231f20">
              <v:path arrowok="t"/>
              <v:stroke dashstyle="solid"/>
            </v:shape>
            <w10:wrap type="none"/>
          </v:group>
        </w:pict>
      </w:r>
      <w:r>
        <w:rPr>
          <w:rFonts w:ascii="Arial"/>
          <w:color w:val="231F20"/>
          <w:w w:val="105"/>
          <w:sz w:val="12"/>
        </w:rPr>
        <w:t>Flin Flon (80 Mt)</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
        <w:rPr>
          <w:rFonts w:ascii="Arial"/>
          <w:sz w:val="18"/>
        </w:rPr>
      </w:pPr>
    </w:p>
    <w:p>
      <w:pPr>
        <w:spacing w:before="1"/>
        <w:ind w:left="1123" w:right="0" w:firstLine="0"/>
        <w:jc w:val="left"/>
        <w:rPr>
          <w:rFonts w:ascii="Arial"/>
          <w:sz w:val="12"/>
        </w:rPr>
      </w:pPr>
      <w:r>
        <w:rPr/>
        <w:drawing>
          <wp:anchor distT="0" distB="0" distL="0" distR="0" allowOverlap="1" layoutInCell="1" locked="0" behindDoc="1" simplePos="0" relativeHeight="268258055">
            <wp:simplePos x="0" y="0"/>
            <wp:positionH relativeFrom="page">
              <wp:posOffset>701332</wp:posOffset>
            </wp:positionH>
            <wp:positionV relativeFrom="paragraph">
              <wp:posOffset>-237292</wp:posOffset>
            </wp:positionV>
            <wp:extent cx="1571618" cy="855057"/>
            <wp:effectExtent l="0" t="0" r="0" b="0"/>
            <wp:wrapNone/>
            <wp:docPr id="57" name="image146.png" descr=""/>
            <wp:cNvGraphicFramePr>
              <a:graphicFrameLocks noChangeAspect="1"/>
            </wp:cNvGraphicFramePr>
            <a:graphic>
              <a:graphicData uri="http://schemas.openxmlformats.org/drawingml/2006/picture">
                <pic:pic>
                  <pic:nvPicPr>
                    <pic:cNvPr id="58" name="image146.png"/>
                    <pic:cNvPicPr/>
                  </pic:nvPicPr>
                  <pic:blipFill>
                    <a:blip r:embed="rId157" cstate="print"/>
                    <a:stretch>
                      <a:fillRect/>
                    </a:stretch>
                  </pic:blipFill>
                  <pic:spPr>
                    <a:xfrm>
                      <a:off x="0" y="0"/>
                      <a:ext cx="1571618" cy="855057"/>
                    </a:xfrm>
                    <a:prstGeom prst="rect">
                      <a:avLst/>
                    </a:prstGeom>
                  </pic:spPr>
                </pic:pic>
              </a:graphicData>
            </a:graphic>
          </wp:anchor>
        </w:drawing>
      </w:r>
      <w:r>
        <w:rPr>
          <w:rFonts w:ascii="Arial"/>
          <w:color w:val="231F20"/>
          <w:w w:val="105"/>
          <w:sz w:val="12"/>
        </w:rPr>
        <w:t>Noranda (100 Mt)</w:t>
      </w:r>
    </w:p>
    <w:p>
      <w:pPr>
        <w:pStyle w:val="BodyText"/>
        <w:rPr>
          <w:rFonts w:ascii="Arial"/>
        </w:rPr>
      </w:pPr>
    </w:p>
    <w:p>
      <w:pPr>
        <w:pStyle w:val="BodyText"/>
        <w:spacing w:before="10"/>
        <w:rPr>
          <w:rFonts w:ascii="Arial"/>
          <w:sz w:val="11"/>
        </w:rPr>
      </w:pPr>
      <w:r>
        <w:rPr/>
        <w:pict>
          <v:group style="position:absolute;margin-left:194.019501pt;margin-top:8.862195pt;width:12.5pt;height:1.7pt;mso-position-horizontal-relative:page;mso-position-vertical-relative:paragraph;z-index:5896;mso-wrap-distance-left:0;mso-wrap-distance-right:0" coordorigin="3880,177" coordsize="250,34">
            <v:line style="position:absolute" from="3883,194" to="4128,194" stroked="true" strokeweight="1.434pt" strokecolor="#231f20">
              <v:stroke dashstyle="solid"/>
            </v:line>
            <v:shape style="position:absolute;left:3882;top:179;width:246;height:29" coordorigin="3883,179" coordsize="246,29" path="m3883,208l3883,179,4128,180,4128,208,3883,208xe" filled="false" stroked="true" strokeweight=".223pt" strokecolor="#231f20">
              <v:path arrowok="t"/>
              <v:stroke dashstyle="solid"/>
            </v:shape>
            <w10:wrap type="topAndBottom"/>
          </v:group>
        </w:pict>
      </w:r>
    </w:p>
    <w:p>
      <w:pPr>
        <w:spacing w:before="23"/>
        <w:ind w:left="0" w:right="146" w:firstLine="0"/>
        <w:jc w:val="right"/>
        <w:rPr>
          <w:rFonts w:ascii="Arial"/>
          <w:sz w:val="11"/>
        </w:rPr>
      </w:pPr>
      <w:r>
        <w:rPr>
          <w:rFonts w:ascii="Arial"/>
          <w:color w:val="231F20"/>
          <w:w w:val="105"/>
          <w:sz w:val="11"/>
        </w:rPr>
        <w:t>5 km</w:t>
      </w:r>
    </w:p>
    <w:p>
      <w:pPr>
        <w:pStyle w:val="BodyText"/>
        <w:spacing w:before="9" w:after="40"/>
        <w:rPr>
          <w:rFonts w:ascii="Arial"/>
        </w:rPr>
      </w:pPr>
      <w:r>
        <w:rPr/>
        <w:br w:type="column"/>
      </w:r>
      <w:r>
        <w:rPr>
          <w:rFonts w:ascii="Arial"/>
        </w:rPr>
      </w:r>
    </w:p>
    <w:p>
      <w:pPr>
        <w:pStyle w:val="BodyText"/>
        <w:ind w:left="448"/>
        <w:rPr>
          <w:rFonts w:ascii="Arial"/>
        </w:rPr>
      </w:pPr>
      <w:r>
        <w:rPr>
          <w:rFonts w:ascii="Arial"/>
        </w:rPr>
        <w:drawing>
          <wp:inline distT="0" distB="0" distL="0" distR="0">
            <wp:extent cx="698423" cy="509587"/>
            <wp:effectExtent l="0" t="0" r="0" b="0"/>
            <wp:docPr id="59" name="image147.png" descr=""/>
            <wp:cNvGraphicFramePr>
              <a:graphicFrameLocks noChangeAspect="1"/>
            </wp:cNvGraphicFramePr>
            <a:graphic>
              <a:graphicData uri="http://schemas.openxmlformats.org/drawingml/2006/picture">
                <pic:pic>
                  <pic:nvPicPr>
                    <pic:cNvPr id="60" name="image147.png"/>
                    <pic:cNvPicPr/>
                  </pic:nvPicPr>
                  <pic:blipFill>
                    <a:blip r:embed="rId158" cstate="print"/>
                    <a:stretch>
                      <a:fillRect/>
                    </a:stretch>
                  </pic:blipFill>
                  <pic:spPr>
                    <a:xfrm>
                      <a:off x="0" y="0"/>
                      <a:ext cx="698423" cy="509587"/>
                    </a:xfrm>
                    <a:prstGeom prst="rect">
                      <a:avLst/>
                    </a:prstGeom>
                  </pic:spPr>
                </pic:pic>
              </a:graphicData>
            </a:graphic>
          </wp:inline>
        </w:drawing>
      </w:r>
      <w:r>
        <w:rPr>
          <w:rFonts w:ascii="Arial"/>
        </w:rPr>
      </w:r>
    </w:p>
    <w:p>
      <w:pPr>
        <w:spacing w:before="113"/>
        <w:ind w:left="544" w:right="0" w:firstLine="0"/>
        <w:jc w:val="left"/>
        <w:rPr>
          <w:rFonts w:ascii="Arial"/>
          <w:sz w:val="12"/>
        </w:rPr>
      </w:pPr>
      <w:r>
        <w:rPr/>
        <w:pict>
          <v:group style="position:absolute;margin-left:132.377777pt;margin-top:-26.663395pt;width:92.8pt;height:72.8pt;mso-position-horizontal-relative:page;mso-position-vertical-relative:paragraph;z-index:5992" coordorigin="2648,-533" coordsize="1856,1456">
            <v:shape style="position:absolute;left:2647;top:-534;width:1856;height:1456" type="#_x0000_t75" stroked="false">
              <v:imagedata r:id="rId159" o:title=""/>
            </v:shape>
            <v:shape style="position:absolute;left:2647;top:-534;width:1856;height:1456"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3"/>
                      <w:rPr>
                        <w:sz w:val="11"/>
                      </w:rPr>
                    </w:pPr>
                  </w:p>
                  <w:p>
                    <w:pPr>
                      <w:spacing w:before="1"/>
                      <w:ind w:left="761" w:right="0" w:firstLine="0"/>
                      <w:jc w:val="left"/>
                      <w:rPr>
                        <w:rFonts w:ascii="Arial"/>
                        <w:sz w:val="12"/>
                      </w:rPr>
                    </w:pPr>
                    <w:r>
                      <w:rPr>
                        <w:rFonts w:ascii="Arial"/>
                        <w:color w:val="231F20"/>
                        <w:w w:val="105"/>
                        <w:sz w:val="12"/>
                      </w:rPr>
                      <w:t>Snow Lake (40 Mt)</w:t>
                    </w:r>
                  </w:p>
                </w:txbxContent>
              </v:textbox>
              <w10:wrap type="none"/>
            </v:shape>
            <w10:wrap type="none"/>
          </v:group>
        </w:pict>
      </w:r>
      <w:r>
        <w:rPr>
          <w:rFonts w:ascii="Arial"/>
          <w:color w:val="231F20"/>
          <w:w w:val="105"/>
          <w:sz w:val="12"/>
        </w:rPr>
        <w:t>Matagami  (34 Mt)</w:t>
      </w:r>
    </w:p>
    <w:p>
      <w:pPr>
        <w:pStyle w:val="BodyText"/>
        <w:spacing w:before="2"/>
        <w:rPr>
          <w:rFonts w:ascii="Arial"/>
          <w:sz w:val="16"/>
        </w:rPr>
      </w:pPr>
      <w:r>
        <w:rPr/>
        <w:drawing>
          <wp:anchor distT="0" distB="0" distL="0" distR="0" allowOverlap="1" layoutInCell="1" locked="0" behindDoc="0" simplePos="0" relativeHeight="5920">
            <wp:simplePos x="0" y="0"/>
            <wp:positionH relativeFrom="page">
              <wp:posOffset>2939097</wp:posOffset>
            </wp:positionH>
            <wp:positionV relativeFrom="paragraph">
              <wp:posOffset>143015</wp:posOffset>
            </wp:positionV>
            <wp:extent cx="782857" cy="947737"/>
            <wp:effectExtent l="0" t="0" r="0" b="0"/>
            <wp:wrapTopAndBottom/>
            <wp:docPr id="61" name="image149.png" descr=""/>
            <wp:cNvGraphicFramePr>
              <a:graphicFrameLocks noChangeAspect="1"/>
            </wp:cNvGraphicFramePr>
            <a:graphic>
              <a:graphicData uri="http://schemas.openxmlformats.org/drawingml/2006/picture">
                <pic:pic>
                  <pic:nvPicPr>
                    <pic:cNvPr id="62" name="image149.png"/>
                    <pic:cNvPicPr/>
                  </pic:nvPicPr>
                  <pic:blipFill>
                    <a:blip r:embed="rId160" cstate="print"/>
                    <a:stretch>
                      <a:fillRect/>
                    </a:stretch>
                  </pic:blipFill>
                  <pic:spPr>
                    <a:xfrm>
                      <a:off x="0" y="0"/>
                      <a:ext cx="782857" cy="947737"/>
                    </a:xfrm>
                    <a:prstGeom prst="rect">
                      <a:avLst/>
                    </a:prstGeom>
                  </pic:spPr>
                </pic:pic>
              </a:graphicData>
            </a:graphic>
          </wp:anchor>
        </w:drawing>
      </w:r>
    </w:p>
    <w:p>
      <w:pPr>
        <w:spacing w:before="95"/>
        <w:ind w:left="190" w:right="0" w:firstLine="0"/>
        <w:jc w:val="left"/>
        <w:rPr>
          <w:rFonts w:ascii="Arial"/>
          <w:sz w:val="12"/>
        </w:rPr>
      </w:pPr>
      <w:r>
        <w:rPr>
          <w:rFonts w:ascii="Arial"/>
          <w:color w:val="231F20"/>
          <w:w w:val="105"/>
          <w:sz w:val="12"/>
        </w:rPr>
        <w:t>Hokuroku District  (90 Mt)</w:t>
      </w:r>
    </w:p>
    <w:p>
      <w:pPr>
        <w:pStyle w:val="BodyText"/>
        <w:spacing w:line="230" w:lineRule="auto" w:before="193"/>
        <w:ind w:left="317" w:right="1095"/>
        <w:jc w:val="both"/>
      </w:pPr>
      <w:r>
        <w:rPr/>
        <w:br w:type="column"/>
      </w:r>
      <w:r>
        <w:rPr>
          <w:color w:val="231F20"/>
        </w:rPr>
        <w:t>zontal,</w:t>
      </w:r>
      <w:r>
        <w:rPr>
          <w:color w:val="231F20"/>
          <w:spacing w:val="-7"/>
        </w:rPr>
        <w:t> </w:t>
      </w:r>
      <w:r>
        <w:rPr>
          <w:color w:val="231F20"/>
        </w:rPr>
        <w:t>resulting</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formation</w:t>
      </w:r>
      <w:r>
        <w:rPr>
          <w:color w:val="231F20"/>
          <w:spacing w:val="-7"/>
        </w:rPr>
        <w:t> </w:t>
      </w:r>
      <w:r>
        <w:rPr>
          <w:color w:val="231F20"/>
        </w:rPr>
        <w:t>of</w:t>
      </w:r>
      <w:r>
        <w:rPr>
          <w:color w:val="231F20"/>
          <w:spacing w:val="-7"/>
        </w:rPr>
        <w:t> </w:t>
      </w:r>
      <w:r>
        <w:rPr>
          <w:color w:val="231F20"/>
        </w:rPr>
        <w:t>a</w:t>
      </w:r>
      <w:r>
        <w:rPr>
          <w:color w:val="231F20"/>
          <w:spacing w:val="-7"/>
        </w:rPr>
        <w:t> </w:t>
      </w:r>
      <w:r>
        <w:rPr>
          <w:color w:val="231F20"/>
        </w:rPr>
        <w:t>stratified,</w:t>
      </w:r>
      <w:r>
        <w:rPr>
          <w:color w:val="231F20"/>
          <w:spacing w:val="-7"/>
        </w:rPr>
        <w:t> </w:t>
      </w:r>
      <w:r>
        <w:rPr>
          <w:color w:val="231F20"/>
        </w:rPr>
        <w:t>district-scale semi-conformable alteration zone controlled in extent by the strike length of the underlying intrusion (Spooner and Fyfe, 1973;</w:t>
      </w:r>
      <w:r>
        <w:rPr>
          <w:color w:val="231F20"/>
          <w:spacing w:val="-7"/>
        </w:rPr>
        <w:t> </w:t>
      </w:r>
      <w:r>
        <w:rPr>
          <w:color w:val="231F20"/>
        </w:rPr>
        <w:t>Munha</w:t>
      </w:r>
      <w:r>
        <w:rPr>
          <w:color w:val="231F20"/>
          <w:spacing w:val="-7"/>
        </w:rPr>
        <w:t> </w:t>
      </w:r>
      <w:r>
        <w:rPr>
          <w:color w:val="231F20"/>
        </w:rPr>
        <w:t>and</w:t>
      </w:r>
      <w:r>
        <w:rPr>
          <w:color w:val="231F20"/>
          <w:spacing w:val="-7"/>
        </w:rPr>
        <w:t> </w:t>
      </w:r>
      <w:r>
        <w:rPr>
          <w:color w:val="231F20"/>
        </w:rPr>
        <w:t>Kerrich,</w:t>
      </w:r>
      <w:r>
        <w:rPr>
          <w:color w:val="231F20"/>
          <w:spacing w:val="-7"/>
        </w:rPr>
        <w:t> </w:t>
      </w:r>
      <w:r>
        <w:rPr>
          <w:color w:val="231F20"/>
        </w:rPr>
        <w:t>1980;</w:t>
      </w:r>
      <w:r>
        <w:rPr>
          <w:color w:val="231F20"/>
          <w:spacing w:val="-7"/>
        </w:rPr>
        <w:t> </w:t>
      </w:r>
      <w:r>
        <w:rPr>
          <w:color w:val="231F20"/>
        </w:rPr>
        <w:t>Lagerblad</w:t>
      </w:r>
      <w:r>
        <w:rPr>
          <w:color w:val="231F20"/>
          <w:spacing w:val="-7"/>
        </w:rPr>
        <w:t> </w:t>
      </w:r>
      <w:r>
        <w:rPr>
          <w:color w:val="231F20"/>
        </w:rPr>
        <w:t>and</w:t>
      </w:r>
      <w:r>
        <w:rPr>
          <w:color w:val="231F20"/>
          <w:spacing w:val="-7"/>
        </w:rPr>
        <w:t> </w:t>
      </w:r>
      <w:r>
        <w:rPr>
          <w:color w:val="231F20"/>
        </w:rPr>
        <w:t>Gorbatchev; 1985;</w:t>
      </w:r>
      <w:r>
        <w:rPr>
          <w:color w:val="231F20"/>
          <w:spacing w:val="-5"/>
        </w:rPr>
        <w:t> </w:t>
      </w:r>
      <w:r>
        <w:rPr>
          <w:color w:val="231F20"/>
        </w:rPr>
        <w:t>Gibson</w:t>
      </w:r>
      <w:r>
        <w:rPr>
          <w:color w:val="231F20"/>
          <w:spacing w:val="-5"/>
        </w:rPr>
        <w:t> </w:t>
      </w:r>
      <w:r>
        <w:rPr>
          <w:color w:val="231F20"/>
        </w:rPr>
        <w:t>and</w:t>
      </w:r>
      <w:r>
        <w:rPr>
          <w:color w:val="231F20"/>
          <w:spacing w:val="-8"/>
        </w:rPr>
        <w:t> </w:t>
      </w:r>
      <w:r>
        <w:rPr>
          <w:color w:val="231F20"/>
        </w:rPr>
        <w:t>Watkinson,</w:t>
      </w:r>
      <w:r>
        <w:rPr>
          <w:color w:val="231F20"/>
          <w:spacing w:val="-5"/>
        </w:rPr>
        <w:t> </w:t>
      </w:r>
      <w:r>
        <w:rPr>
          <w:color w:val="231F20"/>
        </w:rPr>
        <w:t>1990;</w:t>
      </w:r>
      <w:r>
        <w:rPr>
          <w:color w:val="231F20"/>
          <w:spacing w:val="-5"/>
        </w:rPr>
        <w:t> </w:t>
      </w:r>
      <w:r>
        <w:rPr>
          <w:color w:val="231F20"/>
          <w:spacing w:val="-3"/>
        </w:rPr>
        <w:t>Galley,</w:t>
      </w:r>
      <w:r>
        <w:rPr>
          <w:color w:val="231F20"/>
          <w:spacing w:val="-5"/>
        </w:rPr>
        <w:t> </w:t>
      </w:r>
      <w:r>
        <w:rPr>
          <w:color w:val="231F20"/>
        </w:rPr>
        <w:t>1993;</w:t>
      </w:r>
      <w:r>
        <w:rPr>
          <w:color w:val="231F20"/>
          <w:spacing w:val="-16"/>
        </w:rPr>
        <w:t> </w:t>
      </w:r>
      <w:r>
        <w:rPr>
          <w:color w:val="231F20"/>
        </w:rPr>
        <w:t>Alt,</w:t>
      </w:r>
      <w:r>
        <w:rPr>
          <w:color w:val="231F20"/>
          <w:spacing w:val="-5"/>
        </w:rPr>
        <w:t> </w:t>
      </w:r>
      <w:r>
        <w:rPr>
          <w:color w:val="231F20"/>
        </w:rPr>
        <w:t>1995; Brauhart</w:t>
      </w:r>
      <w:r>
        <w:rPr>
          <w:color w:val="231F20"/>
          <w:spacing w:val="-5"/>
        </w:rPr>
        <w:t> </w:t>
      </w:r>
      <w:r>
        <w:rPr>
          <w:color w:val="231F20"/>
        </w:rPr>
        <w:t>et</w:t>
      </w:r>
      <w:r>
        <w:rPr>
          <w:color w:val="231F20"/>
          <w:spacing w:val="-5"/>
        </w:rPr>
        <w:t> </w:t>
      </w:r>
      <w:r>
        <w:rPr>
          <w:color w:val="231F20"/>
        </w:rPr>
        <w:t>al.,</w:t>
      </w:r>
      <w:r>
        <w:rPr>
          <w:color w:val="231F20"/>
          <w:spacing w:val="-5"/>
        </w:rPr>
        <w:t> </w:t>
      </w:r>
      <w:r>
        <w:rPr>
          <w:color w:val="231F20"/>
        </w:rPr>
        <w:t>1998;</w:t>
      </w:r>
      <w:r>
        <w:rPr>
          <w:color w:val="231F20"/>
          <w:spacing w:val="-5"/>
        </w:rPr>
        <w:t> </w:t>
      </w:r>
      <w:r>
        <w:rPr>
          <w:color w:val="231F20"/>
        </w:rPr>
        <w:t>Bailes</w:t>
      </w:r>
      <w:r>
        <w:rPr>
          <w:color w:val="231F20"/>
          <w:spacing w:val="-5"/>
        </w:rPr>
        <w:t> </w:t>
      </w:r>
      <w:r>
        <w:rPr>
          <w:color w:val="231F20"/>
        </w:rPr>
        <w:t>and</w:t>
      </w:r>
      <w:r>
        <w:rPr>
          <w:color w:val="231F20"/>
          <w:spacing w:val="-5"/>
        </w:rPr>
        <w:t> </w:t>
      </w:r>
      <w:r>
        <w:rPr>
          <w:color w:val="231F20"/>
          <w:spacing w:val="-3"/>
        </w:rPr>
        <w:t>Galley,</w:t>
      </w:r>
      <w:r>
        <w:rPr>
          <w:color w:val="231F20"/>
          <w:spacing w:val="-5"/>
        </w:rPr>
        <w:t> </w:t>
      </w:r>
      <w:r>
        <w:rPr>
          <w:color w:val="231F20"/>
        </w:rPr>
        <w:t>1999)</w:t>
      </w:r>
      <w:r>
        <w:rPr>
          <w:color w:val="231F20"/>
          <w:spacing w:val="-5"/>
        </w:rPr>
        <w:t> </w:t>
      </w:r>
      <w:r>
        <w:rPr>
          <w:color w:val="231F20"/>
        </w:rPr>
        <w:t>(Fig.</w:t>
      </w:r>
      <w:r>
        <w:rPr>
          <w:color w:val="231F20"/>
          <w:spacing w:val="-5"/>
        </w:rPr>
        <w:t> </w:t>
      </w:r>
      <w:r>
        <w:rPr>
          <w:color w:val="231F20"/>
        </w:rPr>
        <w:t>14).</w:t>
      </w:r>
      <w:r>
        <w:rPr>
          <w:color w:val="231F20"/>
          <w:spacing w:val="-9"/>
        </w:rPr>
        <w:t> </w:t>
      </w:r>
      <w:r>
        <w:rPr>
          <w:color w:val="231F20"/>
        </w:rPr>
        <w:t>The distribution of the resulting alteration mineral assemblages mimics that of regional metamorphic facies (Spooner and Fyfe, 1973; Alt, 1995; Hannington et al., 2003) (Fig. 15). Hydrothermal fluid reaction zones immediately overlying the intrusions can be altered to amphibolite-facies assem- blages, including Fe-Ca-rich amphibole, clinozoisite, Ca- plagioclase, and magnetite (Figs. 15, 16A,B,C). Above this are Na-Ca-rich greenschist-facies assemblages characterized by</w:t>
      </w:r>
      <w:r>
        <w:rPr>
          <w:color w:val="231F20"/>
          <w:spacing w:val="15"/>
        </w:rPr>
        <w:t> </w:t>
      </w:r>
      <w:r>
        <w:rPr>
          <w:color w:val="231F20"/>
        </w:rPr>
        <w:t>albite,</w:t>
      </w:r>
      <w:r>
        <w:rPr>
          <w:color w:val="231F20"/>
          <w:spacing w:val="15"/>
        </w:rPr>
        <w:t> </w:t>
      </w:r>
      <w:r>
        <w:rPr>
          <w:color w:val="231F20"/>
        </w:rPr>
        <w:t>quartz,</w:t>
      </w:r>
      <w:r>
        <w:rPr>
          <w:color w:val="231F20"/>
          <w:spacing w:val="15"/>
        </w:rPr>
        <w:t> </w:t>
      </w:r>
      <w:r>
        <w:rPr>
          <w:color w:val="231F20"/>
        </w:rPr>
        <w:t>chlorite,</w:t>
      </w:r>
      <w:r>
        <w:rPr>
          <w:color w:val="231F20"/>
          <w:spacing w:val="15"/>
        </w:rPr>
        <w:t> </w:t>
      </w:r>
      <w:r>
        <w:rPr>
          <w:color w:val="231F20"/>
        </w:rPr>
        <w:t>actinolite,</w:t>
      </w:r>
      <w:r>
        <w:rPr>
          <w:color w:val="231F20"/>
          <w:spacing w:val="15"/>
        </w:rPr>
        <w:t> </w:t>
      </w:r>
      <w:r>
        <w:rPr>
          <w:color w:val="231F20"/>
        </w:rPr>
        <w:t>and</w:t>
      </w:r>
      <w:r>
        <w:rPr>
          <w:color w:val="231F20"/>
          <w:spacing w:val="15"/>
        </w:rPr>
        <w:t> </w:t>
      </w:r>
      <w:r>
        <w:rPr>
          <w:color w:val="231F20"/>
        </w:rPr>
        <w:t>epidote.</w:t>
      </w:r>
      <w:r>
        <w:rPr>
          <w:color w:val="231F20"/>
          <w:spacing w:val="15"/>
        </w:rPr>
        <w:t> </w:t>
      </w:r>
      <w:r>
        <w:rPr>
          <w:color w:val="231F20"/>
        </w:rPr>
        <w:t>Closer</w:t>
      </w:r>
      <w:r>
        <w:rPr>
          <w:color w:val="231F20"/>
          <w:spacing w:val="15"/>
        </w:rPr>
        <w:t> </w:t>
      </w:r>
      <w:r>
        <w:rPr>
          <w:color w:val="231F20"/>
        </w:rPr>
        <w:t>to</w:t>
      </w:r>
    </w:p>
    <w:p>
      <w:pPr>
        <w:spacing w:after="0" w:line="230" w:lineRule="auto"/>
        <w:jc w:val="both"/>
        <w:sectPr>
          <w:pgSz w:w="12240" w:h="15840"/>
          <w:pgMar w:header="673" w:footer="779" w:top="1000" w:bottom="960" w:left="0" w:right="0"/>
          <w:cols w:num="4" w:equalWidth="0">
            <w:col w:w="2095" w:space="40"/>
            <w:col w:w="2148" w:space="39"/>
            <w:col w:w="1621" w:space="39"/>
            <w:col w:w="6258"/>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spacing w:after="0"/>
        <w:rPr>
          <w:sz w:val="24"/>
        </w:rPr>
        <w:sectPr>
          <w:type w:val="continuous"/>
          <w:pgSz w:w="12240" w:h="15840"/>
          <w:pgMar w:top="920" w:bottom="280" w:left="0" w:right="0"/>
        </w:sectPr>
      </w:pPr>
    </w:p>
    <w:p>
      <w:pPr>
        <w:spacing w:before="118"/>
        <w:ind w:left="1100" w:right="0" w:firstLine="0"/>
        <w:jc w:val="left"/>
        <w:rPr>
          <w:i/>
          <w:sz w:val="20"/>
        </w:rPr>
      </w:pPr>
      <w:r>
        <w:rPr/>
        <w:pict>
          <v:group style="position:absolute;margin-left:54pt;margin-top:-74.277802pt;width:243pt;height:81.6pt;mso-position-horizontal-relative:page;mso-position-vertical-relative:paragraph;z-index:-177280" coordorigin="1080,-1486" coordsize="4860,1632">
            <v:rect style="position:absolute;left:1080;top:-1453;width:4860;height:1599" filled="true" fillcolor="#ffffff" stroked="false">
              <v:fill type="solid"/>
            </v:rect>
            <v:shape style="position:absolute;left:1080;top:-1486;width:4860;height:1632" type="#_x0000_t202" filled="false" stroked="false">
              <v:textbox inset="0,0,0,0">
                <w:txbxContent>
                  <w:p>
                    <w:pPr>
                      <w:spacing w:line="230" w:lineRule="auto" w:before="20"/>
                      <w:ind w:left="20" w:right="16" w:hanging="1"/>
                      <w:jc w:val="both"/>
                      <w:rPr>
                        <w:sz w:val="16"/>
                      </w:rPr>
                    </w:pPr>
                    <w:r>
                      <w:rPr>
                        <w:b/>
                        <w:color w:val="231F20"/>
                        <w:sz w:val="16"/>
                      </w:rPr>
                      <w:t>F</w:t>
                    </w:r>
                    <w:r>
                      <w:rPr>
                        <w:b/>
                        <w:color w:val="231F20"/>
                        <w:sz w:val="16"/>
                        <w:vertAlign w:val="subscript"/>
                      </w:rPr>
                      <w:t>IGURE</w:t>
                    </w:r>
                    <w:r>
                      <w:rPr>
                        <w:b/>
                        <w:color w:val="231F20"/>
                        <w:sz w:val="16"/>
                        <w:vertAlign w:val="baseline"/>
                      </w:rPr>
                      <w:t> 12. </w:t>
                    </w:r>
                    <w:r>
                      <w:rPr>
                        <w:color w:val="231F20"/>
                        <w:sz w:val="16"/>
                        <w:vertAlign w:val="baseline"/>
                      </w:rPr>
                      <w:t>A same-scale comparison of selected VMS districts. A 5 km diameter circle around each deposit shows the hypothetical area of influ- ence of proximal-scale alteration about each deposit, all encircled by a dashed line defining the proposed extent of a regional-scale alteration sys- tem for each camp based on the presence of known felsic volcanic and</w:t>
                    </w:r>
                    <w:r>
                      <w:rPr>
                        <w:color w:val="231F20"/>
                        <w:spacing w:val="-24"/>
                        <w:sz w:val="16"/>
                        <w:vertAlign w:val="baseline"/>
                      </w:rPr>
                      <w:t> </w:t>
                    </w:r>
                    <w:r>
                      <w:rPr>
                        <w:color w:val="231F20"/>
                        <w:sz w:val="16"/>
                        <w:vertAlign w:val="baseline"/>
                      </w:rPr>
                      <w:t>syn- volcanic formations/intrusions (thin black lines). The Noranda example corresponds closely to the observed alteration. Modified from Sangster (1980).</w:t>
                    </w:r>
                  </w:p>
                </w:txbxContent>
              </v:textbox>
              <w10:wrap type="none"/>
            </v:shape>
            <w10:wrap type="none"/>
          </v:group>
        </w:pict>
      </w:r>
      <w:r>
        <w:rPr>
          <w:i/>
          <w:color w:val="231F20"/>
          <w:sz w:val="20"/>
        </w:rPr>
        <w:t>District-Scale Environments</w:t>
      </w:r>
    </w:p>
    <w:p>
      <w:pPr>
        <w:pStyle w:val="BodyText"/>
        <w:spacing w:line="230" w:lineRule="auto" w:before="69"/>
        <w:ind w:left="1100" w:right="38" w:firstLine="216"/>
        <w:jc w:val="both"/>
      </w:pPr>
      <w:r>
        <w:rPr>
          <w:color w:val="231F20"/>
        </w:rPr>
        <w:t>Most, but not all VMS deposits, occur in clusters that define major mining camps. Sangster (1980) used the distri- bution of VMS deposits within well known mining districts in Canada to indicate that there was a first-order regional control on their distribution (Fig. 12). In general, the deposit clusters are restricted to either linear rifts or calderas. These features are generated by regional thinning of the basement, decompression melting of the underlying mantle, and gener- ation of mafic magmas (Fig. 13). In ocean spreading-ridge settings, these magmas rise to within a few thousand metres of the seafloor to form elongate gabbroic sills that parallel the seafloor-spreading axes (Stinton and Detrick, 1992). Where pre-existing ocean-floor or arc lithosphere is present, these mafic magmas, at temperatures of 1000 to 1400°C, may underplate the crust, producing intermediate to felsic partial melts and bimodal mafic intrusive/extrusive assem- blages. The associated gabbro-diorite-tonalite-trondhjemite intrusive complexes may rise to within 2 to 3 km of the seafloor</w:t>
      </w:r>
      <w:r>
        <w:rPr>
          <w:color w:val="231F20"/>
          <w:spacing w:val="-12"/>
        </w:rPr>
        <w:t> </w:t>
      </w:r>
      <w:r>
        <w:rPr>
          <w:color w:val="231F20"/>
        </w:rPr>
        <w:t>(Galley,</w:t>
      </w:r>
      <w:r>
        <w:rPr>
          <w:color w:val="231F20"/>
          <w:spacing w:val="-12"/>
        </w:rPr>
        <w:t> </w:t>
      </w:r>
      <w:r>
        <w:rPr>
          <w:color w:val="231F20"/>
        </w:rPr>
        <w:t>2003,</w:t>
      </w:r>
      <w:r>
        <w:rPr>
          <w:color w:val="231F20"/>
          <w:spacing w:val="-12"/>
        </w:rPr>
        <w:t> </w:t>
      </w:r>
      <w:r>
        <w:rPr>
          <w:color w:val="231F20"/>
        </w:rPr>
        <w:t>and</w:t>
      </w:r>
      <w:r>
        <w:rPr>
          <w:color w:val="231F20"/>
          <w:spacing w:val="-12"/>
        </w:rPr>
        <w:t> </w:t>
      </w:r>
      <w:r>
        <w:rPr>
          <w:color w:val="231F20"/>
        </w:rPr>
        <w:t>references</w:t>
      </w:r>
      <w:r>
        <w:rPr>
          <w:color w:val="231F20"/>
          <w:spacing w:val="-12"/>
        </w:rPr>
        <w:t> </w:t>
      </w:r>
      <w:r>
        <w:rPr>
          <w:color w:val="231F20"/>
        </w:rPr>
        <w:t>therein).</w:t>
      </w:r>
      <w:r>
        <w:rPr>
          <w:color w:val="231F20"/>
          <w:spacing w:val="-15"/>
        </w:rPr>
        <w:t> </w:t>
      </w:r>
      <w:r>
        <w:rPr>
          <w:color w:val="231F20"/>
        </w:rPr>
        <w:t>Where</w:t>
      </w:r>
      <w:r>
        <w:rPr>
          <w:color w:val="231F20"/>
          <w:spacing w:val="-12"/>
        </w:rPr>
        <w:t> </w:t>
      </w:r>
      <w:r>
        <w:rPr>
          <w:color w:val="231F20"/>
        </w:rPr>
        <w:t>exten- sion is taking place in thicker (20-30 km) crust, such as in a continental back-arc setting, magmas may form mid-crustal intrusions. These melts may not intrude into their comag- matic volcanic assemblages but may remain in the underly- ing basement rocks. These different scenarios result in mul- tiple forms of district-scale alteration and deposit character- istics for a VMS</w:t>
      </w:r>
      <w:r>
        <w:rPr>
          <w:color w:val="231F20"/>
          <w:spacing w:val="12"/>
        </w:rPr>
        <w:t> </w:t>
      </w:r>
      <w:r>
        <w:rPr>
          <w:color w:val="231F20"/>
        </w:rPr>
        <w:t>district.</w:t>
      </w:r>
    </w:p>
    <w:p>
      <w:pPr>
        <w:pStyle w:val="BodyText"/>
        <w:spacing w:line="230" w:lineRule="auto" w:before="16"/>
        <w:ind w:left="1100" w:right="39" w:firstLine="216"/>
        <w:jc w:val="both"/>
      </w:pPr>
      <w:r>
        <w:rPr/>
        <w:pict>
          <v:group style="position:absolute;margin-left:454.743988pt;margin-top:20.3428pt;width:20.55pt;height:9.65pt;mso-position-horizontal-relative:page;mso-position-vertical-relative:paragraph;z-index:6328" coordorigin="9095,407" coordsize="411,193">
            <v:shape style="position:absolute;left:9098;top:409;width:405;height:187" coordorigin="9098,409" coordsize="405,187" path="m9300,409l9222,417,9157,437,9114,467,9098,503,9114,539,9157,569,9222,589,9300,596,9379,589,9444,569,9487,539,9503,503,9487,467,9444,437,9379,417,9300,409xe" filled="true" fillcolor="#fed09e" stroked="false">
              <v:path arrowok="t"/>
              <v:fill type="solid"/>
            </v:shape>
            <v:shape style="position:absolute;left:9098;top:409;width:405;height:187" coordorigin="9098,409" coordsize="405,187" path="m9300,409l9379,417,9444,437,9487,467,9503,503,9487,539,9444,569,9379,589,9300,596,9222,589,9157,569,9114,539,9098,503,9114,467,9157,437,9222,417,9300,409xe" filled="false" stroked="true" strokeweight=".262pt" strokecolor="#231f20">
              <v:path arrowok="t"/>
              <v:stroke dashstyle="solid"/>
            </v:shape>
            <v:shape style="position:absolute;left:9094;top:407;width:358;height:154" type="#_x0000_t75" stroked="false">
              <v:imagedata r:id="rId161" o:title=""/>
            </v:shape>
            <w10:wrap type="none"/>
          </v:group>
        </w:pict>
      </w:r>
      <w:r>
        <w:rPr>
          <w:color w:val="231F20"/>
        </w:rPr>
        <w:t>The presence of either mafic or composite high-level</w:t>
      </w:r>
      <w:r>
        <w:rPr>
          <w:color w:val="231F20"/>
          <w:spacing w:val="-12"/>
        </w:rPr>
        <w:t> </w:t>
      </w:r>
      <w:r>
        <w:rPr>
          <w:color w:val="231F20"/>
        </w:rPr>
        <w:t>sub- volcanic intrusions within a rift or caldera setting will drive a</w:t>
      </w:r>
      <w:r>
        <w:rPr>
          <w:color w:val="231F20"/>
          <w:spacing w:val="-9"/>
        </w:rPr>
        <w:t> </w:t>
      </w:r>
      <w:r>
        <w:rPr>
          <w:color w:val="231F20"/>
        </w:rPr>
        <w:t>subseafloor</w:t>
      </w:r>
      <w:r>
        <w:rPr>
          <w:color w:val="231F20"/>
          <w:spacing w:val="-9"/>
        </w:rPr>
        <w:t> </w:t>
      </w:r>
      <w:r>
        <w:rPr>
          <w:color w:val="231F20"/>
        </w:rPr>
        <w:t>hydrothermal-fluid</w:t>
      </w:r>
      <w:r>
        <w:rPr>
          <w:color w:val="231F20"/>
          <w:spacing w:val="-9"/>
        </w:rPr>
        <w:t> </w:t>
      </w:r>
      <w:r>
        <w:rPr>
          <w:color w:val="231F20"/>
        </w:rPr>
        <w:t>convection</w:t>
      </w:r>
      <w:r>
        <w:rPr>
          <w:color w:val="231F20"/>
          <w:spacing w:val="-9"/>
        </w:rPr>
        <w:t> </w:t>
      </w:r>
      <w:r>
        <w:rPr>
          <w:color w:val="231F20"/>
        </w:rPr>
        <w:t>system</w:t>
      </w:r>
      <w:r>
        <w:rPr>
          <w:color w:val="231F20"/>
          <w:spacing w:val="-9"/>
        </w:rPr>
        <w:t> </w:t>
      </w:r>
      <w:r>
        <w:rPr>
          <w:color w:val="231F20"/>
        </w:rPr>
        <w:t>(Galley, 1993;</w:t>
      </w:r>
      <w:r>
        <w:rPr>
          <w:color w:val="231F20"/>
          <w:spacing w:val="5"/>
        </w:rPr>
        <w:t> </w:t>
      </w:r>
      <w:r>
        <w:rPr>
          <w:color w:val="231F20"/>
        </w:rPr>
        <w:t>Alt,</w:t>
      </w:r>
      <w:r>
        <w:rPr>
          <w:color w:val="231F20"/>
          <w:spacing w:val="15"/>
        </w:rPr>
        <w:t> </w:t>
      </w:r>
      <w:r>
        <w:rPr>
          <w:color w:val="231F20"/>
        </w:rPr>
        <w:t>1995)</w:t>
      </w:r>
      <w:r>
        <w:rPr>
          <w:color w:val="231F20"/>
          <w:spacing w:val="15"/>
        </w:rPr>
        <w:t> </w:t>
      </w:r>
      <w:r>
        <w:rPr>
          <w:color w:val="231F20"/>
        </w:rPr>
        <w:t>(Fig.</w:t>
      </w:r>
      <w:r>
        <w:rPr>
          <w:color w:val="231F20"/>
          <w:spacing w:val="15"/>
        </w:rPr>
        <w:t> </w:t>
      </w:r>
      <w:r>
        <w:rPr>
          <w:color w:val="231F20"/>
        </w:rPr>
        <w:t>14).</w:t>
      </w:r>
      <w:r>
        <w:rPr>
          <w:color w:val="231F20"/>
          <w:spacing w:val="15"/>
        </w:rPr>
        <w:t> </w:t>
      </w:r>
      <w:r>
        <w:rPr>
          <w:color w:val="231F20"/>
        </w:rPr>
        <w:t>Connate</w:t>
      </w:r>
      <w:r>
        <w:rPr>
          <w:color w:val="231F20"/>
          <w:spacing w:val="15"/>
        </w:rPr>
        <w:t> </w:t>
      </w:r>
      <w:r>
        <w:rPr>
          <w:color w:val="231F20"/>
        </w:rPr>
        <w:t>seawater</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porous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260" w:lineRule="atLeast" w:before="95"/>
        <w:ind w:left="1100" w:right="37" w:firstLine="4"/>
        <w:jc w:val="left"/>
        <w:rPr>
          <w:rFonts w:ascii="Arial"/>
          <w:sz w:val="14"/>
        </w:rPr>
      </w:pPr>
      <w:r>
        <w:rPr/>
        <w:pict>
          <v:group style="position:absolute;margin-left:316.885010pt;margin-top:-388.622772pt;width:241.15pt;height:389.1pt;mso-position-horizontal-relative:page;mso-position-vertical-relative:paragraph;z-index:6256" coordorigin="6338,-7772" coordsize="4823,7782">
            <v:shape style="position:absolute;left:7543;top:-6809;width:673;height:261" coordorigin="7543,-6809" coordsize="673,261" path="m7639,-6809l7621,-6808,7603,-6805,7586,-6799,7572,-6790,7559,-6775,7549,-6758,7543,-6740,7546,-6722,7558,-6708,7577,-6701,7598,-6695,7617,-6687,7627,-6679,7637,-6669,7647,-6660,7658,-6651,7678,-6636,7698,-6621,7719,-6608,7741,-6600,7816,-6587,7890,-6576,7965,-6567,8040,-6559,8115,-6553,8190,-6548,8198,-6548,8197,-6564,8197,-6571,8204,-6612,8213,-6654,8215,-6693,8208,-6709,8052,-6709,8018,-6712,7984,-6718,7951,-6726,7918,-6735,7894,-6743,7849,-6763,7825,-6770,7801,-6775,7776,-6777,7750,-6780,7725,-6783,7704,-6790,7683,-6798,7661,-6805,7639,-6809xm8169,-6737l8131,-6729,8091,-6716,8052,-6709,8208,-6709,8200,-6725,8169,-6737xe" filled="true" fillcolor="#f9a870" stroked="false">
              <v:path arrowok="t"/>
              <v:fill type="solid"/>
            </v:shape>
            <v:shape style="position:absolute;left:7543;top:-6809;width:673;height:261" coordorigin="7543,-6809" coordsize="673,261" path="m8200,-6725l8169,-6737,8131,-6729,8091,-6716,8052,-6709,7984,-6718,7918,-6735,7872,-6753,7849,-6763,7825,-6770,7801,-6775,7776,-6777,7750,-6780,7725,-6783,7704,-6790,7683,-6798,7661,-6805,7639,-6809,7621,-6808,7603,-6805,7549,-6758,7543,-6740,7546,-6722,7558,-6708,7577,-6701,7598,-6695,7617,-6687,7627,-6679,7637,-6669,7647,-6660,7658,-6651,7678,-6636,7698,-6621,7719,-6608,7816,-6587,7890,-6576,7965,-6567,8040,-6559,8115,-6553,8190,-6548,8198,-6548,8197,-6564,8197,-6571,8204,-6612,8213,-6654,8215,-6693,8200,-6725xe" filled="false" stroked="true" strokeweight=".262pt" strokecolor="#231f20">
              <v:path arrowok="t"/>
              <v:stroke dashstyle="solid"/>
            </v:shape>
            <v:shape style="position:absolute;left:7986;top:-6779;width:743;height:282" coordorigin="7986,-6779" coordsize="743,282" path="m8087,-6779l8027,-6777,8017,-6775,8007,-6769,8000,-6761,7995,-6751,7989,-6733,7987,-6713,7986,-6693,7988,-6674,7991,-6659,7996,-6645,8003,-6632,8014,-6623,8042,-6611,8072,-6603,8183,-6586,8284,-6573,8334,-6565,8406,-6549,8548,-6514,8619,-6500,8638,-6498,8658,-6497,8676,-6500,8693,-6507,8707,-6518,8718,-6533,8726,-6550,8729,-6568,8727,-6603,8721,-6638,8709,-6671,8690,-6700,8666,-6719,8636,-6731,8604,-6739,8572,-6745,8466,-6745,8443,-6746,8421,-6749,8376,-6754,8350,-6759,8323,-6763,8297,-6768,8270,-6771,8209,-6774,8148,-6778,8087,-6779xm8546,-6748l8519,-6747,8492,-6745,8466,-6745,8572,-6745,8546,-6748xe" filled="true" fillcolor="#47a5ae" stroked="false">
              <v:path arrowok="t"/>
              <v:fill type="solid"/>
            </v:shape>
            <v:shape style="position:absolute;left:7986;top:-6779;width:743;height:282" coordorigin="7986,-6779" coordsize="743,282" path="m8572,-6745l8546,-6748,8519,-6747,8492,-6745,8466,-6745,8443,-6746,8421,-6749,8398,-6752,8376,-6754,8350,-6759,8323,-6763,8297,-6768,8270,-6771,8209,-6774,8148,-6778,8087,-6779,8027,-6777,7987,-6713,7986,-6693,7988,-6674,8042,-6611,8102,-6598,8183,-6586,8234,-6579,8284,-6573,8334,-6565,8406,-6549,8477,-6532,8548,-6514,8619,-6500,8638,-6498,8658,-6497,8676,-6500,8726,-6550,8729,-6568,8727,-6603,8709,-6671,8666,-6719,8604,-6739,8572,-6745xe" filled="false" stroked="true" strokeweight=".262pt" strokecolor="#231f20">
              <v:path arrowok="t"/>
              <v:stroke dashstyle="solid"/>
            </v:shape>
            <v:shape style="position:absolute;left:8763;top:-6768;width:552;height:350" coordorigin="8764,-6767" coordsize="552,350" path="m8997,-6748l8892,-6732,8764,-6674,8837,-6440,8966,-6417,9241,-6623,9296,-6700,9312,-6742,9094,-6742,8997,-6748xm9293,-6767l9260,-6767,9174,-6742,9312,-6742,9315,-6748,9293,-6767xe" filled="true" fillcolor="#f9a870" stroked="false">
              <v:path arrowok="t"/>
              <v:fill type="solid"/>
            </v:shape>
            <v:shape style="position:absolute;left:8763;top:-6768;width:552;height:350" coordorigin="8764,-6767" coordsize="552,350" path="m8764,-6674l8892,-6732,8997,-6748,9094,-6742,9174,-6742,9260,-6767,9293,-6767,9315,-6748,9296,-6700,9241,-6623,8966,-6417,8837,-6440,8764,-6674xe" filled="false" stroked="true" strokeweight=".262pt" strokecolor="#231f20">
              <v:path arrowok="t"/>
              <v:stroke dashstyle="solid"/>
            </v:shape>
            <v:shape style="position:absolute;left:9138;top:-6659;width:808;height:202" coordorigin="9139,-6658" coordsize="808,202" path="m9689,-6658l9661,-6658,9633,-6657,9605,-6653,9577,-6648,9516,-6633,9454,-6616,9393,-6596,9281,-6554,9228,-6532,9179,-6505,9139,-6468,9141,-6457,9176,-6463,9223,-6477,9263,-6487,9308,-6496,9398,-6515,9443,-6523,9499,-6528,9555,-6532,9612,-6536,9667,-6545,9691,-6554,9712,-6568,9734,-6582,9757,-6594,9787,-6603,9819,-6610,9851,-6616,9913,-6629,9928,-6633,9941,-6639,9947,-6642,9942,-6644,9757,-6644,9740,-6647,9706,-6656,9689,-6658xm9932,-6650l9927,-6650,9884,-6650,9799,-6645,9757,-6644,9942,-6644,9932,-6650xe" filled="true" fillcolor="#47a5ae" stroked="false">
              <v:path arrowok="t"/>
              <v:fill type="solid"/>
            </v:shape>
            <v:shape style="position:absolute;left:9138;top:-6659;width:808;height:202" coordorigin="9139,-6658" coordsize="808,202" path="m9139,-6468l9141,-6457,9176,-6463,9223,-6477,9263,-6487,9308,-6496,9353,-6506,9398,-6515,9443,-6523,9499,-6528,9555,-6532,9612,-6536,9667,-6545,9691,-6554,9712,-6568,9734,-6582,9757,-6594,9787,-6603,9819,-6610,9851,-6616,9882,-6622,9897,-6626,9913,-6629,9928,-6633,9941,-6639,9947,-6642,9932,-6650,9927,-6650,9884,-6650,9842,-6647,9799,-6645,9757,-6644,9740,-6647,9723,-6652,9706,-6656,9689,-6658,9661,-6658,9633,-6657,9516,-6633,9454,-6616,9393,-6596,9334,-6574,9228,-6532,9179,-6505,9139,-6468xe" filled="false" stroked="true" strokeweight=".262pt" strokecolor="#231f20">
              <v:path arrowok="t"/>
              <v:stroke dashstyle="solid"/>
            </v:shape>
            <v:shape style="position:absolute;left:6355;top:-1949;width:4793;height:1950" type="#_x0000_t75" stroked="false">
              <v:imagedata r:id="rId162" o:title=""/>
            </v:shape>
            <v:rect style="position:absolute;left:6344;top:-1945;width:4799;height:1948" filled="false" stroked="true" strokeweight=".608pt" strokecolor="#231f20">
              <v:stroke dashstyle="solid"/>
            </v:rect>
            <v:shape style="position:absolute;left:6342;top:-7259;width:4818;height:5413" type="#_x0000_t75" stroked="false">
              <v:imagedata r:id="rId163" o:title=""/>
            </v:shape>
            <v:rect style="position:absolute;left:6343;top:-7237;width:4799;height:5361" filled="false" stroked="true" strokeweight=".608pt" strokecolor="#231f20">
              <v:stroke dashstyle="solid"/>
            </v:rect>
            <v:shape style="position:absolute;left:9003;top:-6384;width:119;height:4517" coordorigin="9003,-6384" coordsize="119,4517" path="m9122,-6384l9025,-6384,9003,-1867,9079,-1878,9122,-6384xe" filled="true" fillcolor="#47a5ae" stroked="false">
              <v:path arrowok="t"/>
              <v:fill type="solid"/>
            </v:shape>
            <v:shape style="position:absolute;left:9003;top:-6384;width:119;height:4517" coordorigin="9003,-6384" coordsize="119,4517" path="m9003,-1867l9025,-6384,9122,-6384,9079,-1878,9003,-1867xe" filled="false" stroked="true" strokeweight=".262pt" strokecolor="#231f20">
              <v:path arrowok="t"/>
              <v:stroke dashstyle="solid"/>
            </v:shape>
            <v:line style="position:absolute" from="9639,-6567" to="9639,-1867" stroked="true" strokeweight="4.312pt" strokecolor="#47a5ae">
              <v:stroke dashstyle="solid"/>
            </v:line>
            <v:shape style="position:absolute;left:9596;top:-6568;width:87;height:4700" coordorigin="9596,-6567" coordsize="87,4700" path="m9596,-1867l9628,-6556,9682,-6567,9596,-1867xe" filled="false" stroked="true" strokeweight=".262pt" strokecolor="#231f20">
              <v:path arrowok="t"/>
              <v:stroke dashstyle="solid"/>
            </v:shape>
            <v:shape style="position:absolute;left:8108;top:-6546;width:173;height:4668" coordorigin="8109,-6545" coordsize="173,4668" path="m8281,-6545l8195,-6545,8109,-1878,8184,-1878,8281,-6545xe" filled="true" fillcolor="#47a5ae" stroked="false">
              <v:path arrowok="t"/>
              <v:fill type="solid"/>
            </v:shape>
            <v:shape style="position:absolute;left:8108;top:-6546;width:173;height:4668" coordorigin="8109,-6545" coordsize="173,4668" path="m8109,-1878l8195,-6545,8281,-6545,8184,-1878,8109,-1878xe" filled="false" stroked="true" strokeweight=".262pt" strokecolor="#231f20">
              <v:path arrowok="t"/>
              <v:stroke dashstyle="solid"/>
            </v:shape>
            <v:shape style="position:absolute;left:7499;top:-7007;width:2269;height:658" coordorigin="7500,-7006" coordsize="2269,658" path="m7657,-6658l7604,-6653,7552,-6624,7519,-6596,7500,-6548,7504,-6505,7552,-6472,7657,-6467,7818,-6458,8004,-6425,8104,-6425,8308,-6406,8874,-6382,8969,-6368,9122,-6368,9355,-6348,9440,-6363,9678,-6434,9764,-6477,9764,-6478,8721,-6478,8721,-6479,8682,-6479,8494,-6482,7975,-6553,7814,-6610,7752,-6629,7704,-6639,7657,-6658xm9654,-6577l9588,-6558,9474,-6544,9369,-6520,9255,-6515,8721,-6478,9764,-6478,9769,-6515,9764,-6544,9726,-6567,9654,-6577xm8711,-7006l8675,-7001,8682,-6479,8721,-6479,8711,-7006xe" filled="true" fillcolor="#f58345" stroked="false">
              <v:path arrowok="t"/>
              <v:fill type="solid"/>
            </v:shape>
            <v:shape style="position:absolute;left:7499;top:-7007;width:2269;height:658" coordorigin="7500,-7006" coordsize="2269,658" path="m7657,-6658l7604,-6653,7552,-6624,7519,-6596,7500,-6548,7504,-6505,7552,-6472,7657,-6467,7818,-6458,8004,-6425,8104,-6425,8308,-6406,8546,-6396,8874,-6382,8969,-6368,9122,-6368,9355,-6348,9440,-6363,9521,-6387,9678,-6434,9764,-6477,9769,-6515,9764,-6544,9726,-6567,9654,-6577,9588,-6558,9474,-6544,9369,-6520,9255,-6515,8969,-6496,8721,-6478,8711,-7006,8675,-7001,8682,-6479,8494,-6482,7975,-6553,7814,-6610,7752,-6629,7704,-6639,7657,-6658xe" filled="false" stroked="true" strokeweight=".262pt" strokecolor="#231f20">
              <v:path arrowok="t"/>
              <v:stroke dashstyle="solid"/>
            </v:shape>
            <v:shape style="position:absolute;left:6837;top:-1904;width:3753;height:1154" type="#_x0000_t75" stroked="false">
              <v:imagedata r:id="rId164" o:title=""/>
            </v:shape>
            <v:shape style="position:absolute;left:9664;top:-6830;width:476;height:114" coordorigin="9665,-6829" coordsize="476,114" path="m9953,-6742l9763,-6742,9772,-6735,9791,-6727,9802,-6717,9815,-6716,9833,-6716,9851,-6717,9868,-6719,9886,-6722,9902,-6727,9919,-6733,9936,-6739,9953,-6742xm10136,-6742l9744,-6742,9754,-6742,9953,-6742,9966,-6741,9980,-6738,9994,-6734,10008,-6732,10023,-6731,10040,-6731,10056,-6732,10072,-6732,10105,-6732,10113,-6733,10127,-6735,10133,-6737,10136,-6742xm10105,-6732l10072,-6732,10100,-6732,10105,-6732xm9742,-6829l9726,-6828,9718,-6827,9715,-6816,9710,-6812,9701,-6805,9689,-6801,9674,-6787,9665,-6778,9665,-6758,9673,-6749,9681,-6745,9691,-6740,9702,-6737,9714,-6736,9726,-6735,9735,-6735,9744,-6742,10136,-6742,10140,-6749,10136,-6755,10131,-6763,10121,-6763,10068,-6763,10056,-6764,10040,-6768,10025,-6773,10010,-6778,9964,-6794,9949,-6798,9934,-6803,9897,-6814,9879,-6819,9860,-6822,9843,-6824,9825,-6825,9790,-6825,9774,-6826,9758,-6828,9742,-6829xm10094,-6765l10068,-6763,10121,-6763,10117,-6764,10107,-6764,10094,-6765xe" filled="true" fillcolor="#47a5ae" stroked="false">
              <v:path arrowok="t"/>
              <v:fill type="solid"/>
            </v:shape>
            <v:shape style="position:absolute;left:9664;top:-6830;width:476;height:114" coordorigin="9665,-6829" coordsize="476,114" path="m9681,-6793l9674,-6787,9665,-6778,9665,-6767,9665,-6758,9673,-6749,9726,-6735,9735,-6735,9744,-6742,9754,-6742,9763,-6742,9772,-6735,9780,-6732,9791,-6727,9802,-6717,9815,-6716,9886,-6722,9919,-6733,9936,-6739,9953,-6742,9966,-6741,9980,-6738,9994,-6734,10008,-6732,10023,-6731,10040,-6731,10056,-6732,10072,-6732,10086,-6732,10140,-6749,10136,-6755,10131,-6763,10117,-6764,10107,-6764,10094,-6765,10081,-6764,10068,-6763,10056,-6764,10040,-6768,10025,-6773,10010,-6778,9995,-6783,9980,-6788,9964,-6794,9949,-6798,9934,-6803,9916,-6808,9897,-6814,9825,-6825,9807,-6825,9790,-6825,9774,-6826,9758,-6828,9742,-6829,9726,-6828,9718,-6827,9715,-6816,9710,-6812,9701,-6805,9689,-6801,9681,-6793xe" filled="false" stroked="true" strokeweight=".262pt" strokecolor="#231f20">
              <v:path arrowok="t"/>
              <v:stroke dashstyle="solid"/>
            </v:shape>
            <v:shape style="position:absolute;left:8789;top:-6865;width:305;height:71" coordorigin="8789,-6864" coordsize="305,71" path="m8843,-6851l8792,-6832,8789,-6809,8824,-6800,8908,-6793,8982,-6813,9052,-6829,9094,-6842,9089,-6848,8911,-6848,8843,-6851xm9013,-6864l8975,-6848,9089,-6848,9081,-6861,9013,-6864xe" filled="true" fillcolor="#fed09e" stroked="false">
              <v:path arrowok="t"/>
              <v:fill type="solid"/>
            </v:shape>
            <v:shape style="position:absolute;left:8789;top:-6865;width:305;height:71" coordorigin="8789,-6864" coordsize="305,71" path="m8843,-6851l8792,-6832,8789,-6809,8824,-6800,8908,-6793,8982,-6813,9052,-6829,9094,-6842,9081,-6861,9013,-6864,8975,-6848,8911,-6848,8843,-6851xe" filled="false" stroked="true" strokeweight=".262pt" strokecolor="#231f20">
              <v:path arrowok="t"/>
              <v:stroke dashstyle="solid"/>
            </v:shape>
            <v:shape style="position:absolute;left:7352;top:-6888;width:750;height:54" coordorigin="7353,-6888" coordsize="750,54" path="m8097,-6858l7713,-6858,7741,-6858,7766,-6856,7791,-6852,7816,-6848,7841,-6845,7895,-6839,7923,-6836,7950,-6835,7972,-6835,7993,-6835,8015,-6836,8036,-6838,8052,-6841,8068,-6845,8083,-6850,8097,-6858,8097,-6858xm7361,-6888l7357,-6877,7353,-6868,7370,-6857,7379,-6855,7399,-6850,7420,-6847,7441,-6845,7462,-6845,7479,-6846,7496,-6848,7513,-6850,7530,-6851,7602,-6854,7655,-6855,7684,-6857,7713,-6858,8097,-6858,8102,-6861,8102,-6874,8097,-6877,7806,-6877,7770,-6877,7700,-6880,7697,-6880,7556,-6880,7520,-6880,7504,-6881,7487,-6883,7470,-6885,7460,-6886,7381,-6886,7361,-6888xm7902,-6884l7886,-6883,7866,-6882,7846,-6880,7826,-6878,7806,-6877,8097,-6877,8087,-6880,8052,-6880,7953,-6883,7902,-6884xm7664,-6880l7556,-6880,7697,-6880,7664,-6880xm8075,-6881l8052,-6880,8087,-6880,8075,-6881xm7423,-6888l7407,-6888,7381,-6886,7460,-6886,7453,-6887,7423,-6888xe" filled="true" fillcolor="#fed09e" stroked="false">
              <v:path arrowok="t"/>
              <v:fill type="solid"/>
            </v:shape>
            <v:shape style="position:absolute;left:-700;top:3215;width:2963;height:1788" coordorigin="-699,3216" coordsize="2963,1788" path="m8052,-6880l8028,-6881,8003,-6882,7978,-6883,7953,-6883,7936,-6884,7919,-6884,7902,-6884,7886,-6883,7866,-6882,7846,-6880,7826,-6878,7806,-6877,7770,-6877,7735,-6878,7700,-6880,7664,-6880,7629,-6880,7592,-6880,7556,-6880,7520,-6880,7504,-6881,7487,-6883,7470,-6885,7453,-6887,7438,-6887,7423,-6888,7407,-6888,7392,-6887,7381,-6886,7361,-6888,7357,-6877,7353,-6868,7370,-6857,7379,-6855,7399,-6850,7420,-6847,7441,-6845,7462,-6845,7479,-6846,7496,-6848,7513,-6850,7530,-6851,7554,-6852,7578,-6853,7602,-6854,7626,-6855,7655,-6855,7684,-6857,7713,-6858,7741,-6858,7766,-6856,7791,-6852,7816,-6848,7841,-6845,7868,-6842,7895,-6839,7923,-6836,7950,-6835,7972,-6835,7993,-6835,8015,-6836,8036,-6838,8052,-6841,8068,-6845,8083,-6850,8097,-6858,8102,-6861,8102,-6874,8097,-6877,8086,-6880,8075,-6881,8063,-6881,8052,-6880xm10009,-6256l10316,-6256m10009,-5100l10316,-5100e" filled="false" stroked="true" strokeweight=".262pt" strokecolor="#231f20">
              <v:path arrowok="t"/>
              <v:stroke dashstyle="solid"/>
            </v:shape>
            <v:shape style="position:absolute;left:7860;top:-6438;width:130;height:4312" coordorigin="7861,-6438" coordsize="130,4312" path="m7990,-6438l7925,-6438,7861,-2126,7915,-2137,7990,-6438xe" filled="true" fillcolor="#f58345" stroked="false">
              <v:path arrowok="t"/>
              <v:fill type="solid"/>
            </v:shape>
            <v:shape style="position:absolute;left:7860;top:-6438;width:130;height:4312" coordorigin="7861,-6438" coordsize="130,4312" path="m7925,-6438l7861,-2126,7915,-2137,7990,-6438,7925,-6438xe" filled="false" stroked="true" strokeweight=".262pt" strokecolor="#231f20">
              <v:path arrowok="t"/>
              <v:stroke dashstyle="solid"/>
            </v:shape>
            <v:shape style="position:absolute;left:9251;top:-6363;width:108;height:4151" coordorigin="9251,-6362" coordsize="108,4151" path="m9359,-6362l9305,-6362,9251,-2212,9359,-6362xe" filled="true" fillcolor="#f58345" stroked="false">
              <v:path arrowok="t"/>
              <v:fill type="solid"/>
            </v:shape>
            <v:shape style="position:absolute;left:9251;top:-6363;width:108;height:4151" coordorigin="9251,-6362" coordsize="108,4151" path="m9251,-2212l9305,-6362,9359,-6362,9251,-2212xe" filled="false" stroked="true" strokeweight=".262pt" strokecolor="#231f20">
              <v:path arrowok="t"/>
              <v:stroke dashstyle="solid"/>
            </v:shape>
            <v:shape style="position:absolute;left:8302;top:-6417;width:108;height:4248" coordorigin="8303,-6416" coordsize="108,4248" path="m8410,-6416l8346,-6416,8303,-2169,8367,-2180,8410,-6416xe" filled="true" fillcolor="#f9a870" stroked="false">
              <v:path arrowok="t"/>
              <v:fill type="solid"/>
            </v:shape>
            <v:shape style="position:absolute;left:8302;top:-6417;width:108;height:4248" coordorigin="8303,-6416" coordsize="108,4248" path="m8303,-2169l8346,-6416,8410,-6416,8367,-2180,8303,-2169xe" filled="false" stroked="true" strokeweight=".262pt" strokecolor="#231f20">
              <v:path arrowok="t"/>
              <v:stroke dashstyle="solid"/>
            </v:shape>
            <v:shape style="position:absolute;left:8884;top:-6384;width:108;height:4194" coordorigin="8885,-6384" coordsize="108,4194" path="m8992,-6384l8917,-6384,8885,-2191,8949,-2223,8992,-6384xe" filled="true" fillcolor="#f9a870" stroked="false">
              <v:path arrowok="t"/>
              <v:fill type="solid"/>
            </v:shape>
            <v:shape style="position:absolute;left:8884;top:-6384;width:108;height:4194" coordorigin="8885,-6384" coordsize="108,4194" path="m8949,-2223l8992,-6384,8917,-6384,8885,-2191,8949,-2223xe" filled="false" stroked="true" strokeweight=".262pt" strokecolor="#231f20">
              <v:path arrowok="t"/>
              <v:stroke dashstyle="solid"/>
            </v:shape>
            <v:shape style="position:absolute;left:6896;top:-7026;width:3647;height:5183" type="#_x0000_t75" stroked="false">
              <v:imagedata r:id="rId165" o:title=""/>
            </v:shape>
            <v:shape style="position:absolute;left:6346;top:-7767;width:4799;height:780" coordorigin="6346,-7766" coordsize="4799,780" path="m11145,-7766l6346,-7766,6346,-7236,7102,-7236,7239,-6995,9980,-6987,10269,-7204,11145,-7212,11145,-7766xe" filled="true" fillcolor="#0095da" stroked="false">
              <v:path arrowok="t"/>
              <v:fill type="solid"/>
            </v:shape>
            <v:shape style="position:absolute;left:6346;top:-7767;width:4799;height:780" coordorigin="6346,-7766" coordsize="4799,780" path="m6346,-7236l7102,-7236,7239,-6995,9980,-6987,10269,-7204,11145,-7212,11145,-7766,6346,-7766,6346,-7236xe" filled="false" stroked="true" strokeweight=".608pt" strokecolor="#231f20">
              <v:path arrowok="t"/>
              <v:stroke dashstyle="solid"/>
            </v:shape>
            <v:shape style="position:absolute;left:7381;top:-7009;width:1051;height:294" coordorigin="7382,-7009" coordsize="1051,294" path="m7382,-7009l7440,-6942,7558,-6866,7708,-6791,7843,-6732,8010,-6715,8169,-6724,8312,-6757,8429,-6816,8432,-6819e" filled="false" stroked="true" strokeweight="2.432pt" strokecolor="#2e3092">
              <v:path arrowok="t"/>
              <v:stroke dashstyle="solid"/>
            </v:shape>
            <v:shape style="position:absolute;left:8320;top:-6984;width:243;height:259" coordorigin="8321,-6983" coordsize="243,259" path="m8563,-6983l8321,-6883,8518,-6725,8563,-6983xe" filled="true" fillcolor="#2e3092" stroked="false">
              <v:path arrowok="t"/>
              <v:fill type="solid"/>
            </v:shape>
            <v:shape style="position:absolute;left:8512;top:-7239;width:516;height:239" type="#_x0000_t75" stroked="false">
              <v:imagedata r:id="rId166" o:title=""/>
            </v:shape>
            <v:shape style="position:absolute;left:8586;top:-7239;width:442;height:167" coordorigin="8586,-7239" coordsize="442,167" path="m8675,-7077l8670,-7099,8657,-7128,8628,-7167,8599,-7177,8586,-7192,8586,-7212,8596,-7231,8611,-7239,8638,-7239,8660,-7226,8684,-7234,8714,-7231,8746,-7229,8797,-7219,8842,-7219,8910,-7212,9028,-7204,8979,-7197,8910,-7194,8805,-7194,8716,-7197,8694,-7185,8677,-7162,8687,-7128,8702,-7072,8675,-7077xe" filled="false" stroked="true" strokeweight=".262pt" strokecolor="#231f20">
              <v:path arrowok="t"/>
              <v:stroke dashstyle="solid"/>
            </v:shape>
            <v:shape style="position:absolute;left:6366;top:-7281;width:532;height:637" type="#_x0000_t202" filled="false" stroked="false">
              <v:textbox inset="0,0,0,0">
                <w:txbxContent>
                  <w:p>
                    <w:pPr>
                      <w:spacing w:line="636" w:lineRule="exact" w:before="0"/>
                      <w:ind w:left="0" w:right="0" w:firstLine="0"/>
                      <w:jc w:val="left"/>
                      <w:rPr>
                        <w:rFonts w:ascii="Arial"/>
                        <w:sz w:val="57"/>
                      </w:rPr>
                    </w:pPr>
                    <w:r>
                      <w:rPr>
                        <w:rFonts w:ascii="Arial"/>
                        <w:color w:val="231F20"/>
                        <w:w w:val="322"/>
                        <w:sz w:val="57"/>
                      </w:rPr>
                      <w:t> </w:t>
                    </w:r>
                  </w:p>
                </w:txbxContent>
              </v:textbox>
              <w10:wrap type="none"/>
            </v:shape>
            <v:shape style="position:absolute;left:10456;top:-6346;width:336;height:163" type="#_x0000_t202" filled="false" stroked="false">
              <v:textbox inset="0,0,0,0">
                <w:txbxContent>
                  <w:p>
                    <w:pPr>
                      <w:spacing w:before="0"/>
                      <w:ind w:left="0" w:right="0" w:firstLine="0"/>
                      <w:jc w:val="left"/>
                      <w:rPr>
                        <w:rFonts w:ascii="Arial"/>
                        <w:sz w:val="14"/>
                      </w:rPr>
                    </w:pPr>
                    <w:r>
                      <w:rPr>
                        <w:rFonts w:ascii="Arial"/>
                        <w:color w:val="231F20"/>
                        <w:w w:val="105"/>
                        <w:sz w:val="14"/>
                      </w:rPr>
                      <w:t>2 km</w:t>
                    </w:r>
                  </w:p>
                </w:txbxContent>
              </v:textbox>
              <w10:wrap type="none"/>
            </v:shape>
            <v:shape style="position:absolute;left:10454;top:-5190;width:336;height:163" type="#_x0000_t202" filled="false" stroked="false">
              <v:textbox inset="0,0,0,0">
                <w:txbxContent>
                  <w:p>
                    <w:pPr>
                      <w:spacing w:before="0"/>
                      <w:ind w:left="0" w:right="0" w:firstLine="0"/>
                      <w:jc w:val="left"/>
                      <w:rPr>
                        <w:rFonts w:ascii="Arial"/>
                        <w:sz w:val="14"/>
                      </w:rPr>
                    </w:pPr>
                    <w:r>
                      <w:rPr>
                        <w:rFonts w:ascii="Arial"/>
                        <w:color w:val="231F20"/>
                        <w:w w:val="105"/>
                        <w:sz w:val="14"/>
                      </w:rPr>
                      <w:t>5 km</w:t>
                    </w:r>
                  </w:p>
                </w:txbxContent>
              </v:textbox>
              <w10:wrap type="none"/>
            </v:shape>
            <v:shape style="position:absolute;left:7969;top:-2102;width:1496;height:163" type="#_x0000_t202" filled="false" stroked="false">
              <v:textbox inset="0,0,0,0">
                <w:txbxContent>
                  <w:p>
                    <w:pPr>
                      <w:spacing w:before="0"/>
                      <w:ind w:left="0" w:right="0" w:firstLine="0"/>
                      <w:jc w:val="left"/>
                      <w:rPr>
                        <w:rFonts w:ascii="Arial"/>
                        <w:sz w:val="14"/>
                      </w:rPr>
                    </w:pPr>
                    <w:r>
                      <w:rPr>
                        <w:rFonts w:ascii="Arial"/>
                        <w:color w:val="231F20"/>
                        <w:w w:val="105"/>
                        <w:sz w:val="14"/>
                      </w:rPr>
                      <w:t>Partial Melting of Crust</w:t>
                    </w:r>
                  </w:p>
                </w:txbxContent>
              </v:textbox>
              <w10:wrap type="none"/>
            </v:shape>
            <v:shape style="position:absolute;left:10691;top:-2093;width:417;height:163" type="#_x0000_t202" filled="false" stroked="false">
              <v:textbox inset="0,0,0,0">
                <w:txbxContent>
                  <w:p>
                    <w:pPr>
                      <w:spacing w:before="0"/>
                      <w:ind w:left="0" w:right="0" w:firstLine="0"/>
                      <w:jc w:val="left"/>
                      <w:rPr>
                        <w:rFonts w:ascii="Arial"/>
                        <w:sz w:val="14"/>
                      </w:rPr>
                    </w:pPr>
                    <w:r>
                      <w:rPr>
                        <w:rFonts w:ascii="Arial"/>
                        <w:color w:val="231F20"/>
                        <w:w w:val="105"/>
                        <w:sz w:val="14"/>
                      </w:rPr>
                      <w:t>20 km</w:t>
                    </w:r>
                  </w:p>
                </w:txbxContent>
              </v:textbox>
              <w10:wrap type="none"/>
            </v:shape>
            <v:shape style="position:absolute;left:8059;top:-645;width:1600;height:326" type="#_x0000_t202" filled="false" stroked="false">
              <v:textbox inset="0,0,0,0">
                <w:txbxContent>
                  <w:p>
                    <w:pPr>
                      <w:spacing w:before="0"/>
                      <w:ind w:left="40" w:right="-12" w:hanging="41"/>
                      <w:jc w:val="left"/>
                      <w:rPr>
                        <w:rFonts w:ascii="Arial" w:hAnsi="Arial"/>
                        <w:b/>
                        <w:sz w:val="14"/>
                      </w:rPr>
                    </w:pPr>
                    <w:r>
                      <w:rPr>
                        <w:rFonts w:ascii="Arial" w:hAnsi="Arial"/>
                        <w:b/>
                        <w:color w:val="231F20"/>
                        <w:w w:val="105"/>
                        <w:sz w:val="14"/>
                      </w:rPr>
                      <w:t>Mantle decompression and melting (&gt;1300°C)</w:t>
                    </w:r>
                  </w:p>
                </w:txbxContent>
              </v:textbox>
              <w10:wrap type="none"/>
            </v:shape>
            <v:shape style="position:absolute;left:8187;top:-1732;width:1227;height:163" type="#_x0000_t202" filled="false" stroked="false">
              <v:textbox inset="0,0,0,0">
                <w:txbxContent>
                  <w:p>
                    <w:pPr>
                      <w:spacing w:before="0"/>
                      <w:ind w:left="0" w:right="0" w:firstLine="0"/>
                      <w:jc w:val="left"/>
                      <w:rPr>
                        <w:rFonts w:ascii="Arial"/>
                        <w:sz w:val="14"/>
                      </w:rPr>
                    </w:pPr>
                    <w:r>
                      <w:rPr>
                        <w:rFonts w:ascii="Arial"/>
                        <w:color w:val="231F20"/>
                        <w:w w:val="105"/>
                        <w:sz w:val="14"/>
                      </w:rPr>
                      <w:t>Mantle Partial Melt</w:t>
                    </w:r>
                  </w:p>
                </w:txbxContent>
              </v:textbox>
              <w10:wrap type="none"/>
            </v:shape>
            <w10:wrap type="none"/>
          </v:group>
        </w:pict>
      </w:r>
      <w:r>
        <w:rPr/>
        <w:pict>
          <v:group style="position:absolute;margin-left:353.710999pt;margin-top:20.134241pt;width:20.55pt;height:9.65pt;mso-position-horizontal-relative:page;mso-position-vertical-relative:paragraph;z-index:6280" coordorigin="7074,403" coordsize="411,193">
            <v:shape style="position:absolute;left:7076;top:405;width:405;height:187" type="#_x0000_t75" stroked="false">
              <v:imagedata r:id="rId167" o:title=""/>
            </v:shape>
            <v:shape style="position:absolute;left:7076;top:405;width:405;height:187" coordorigin="7077,405" coordsize="405,187" path="m7279,405l7358,413,7422,433,7466,462,7482,499,7466,535,7422,565,7358,585,7279,592,7200,585,7136,565,7093,535,7077,499,7093,462,7136,433,7200,413,7279,405xe" filled="false" stroked="true" strokeweight=".262pt" strokecolor="#231f20">
              <v:path arrowok="t"/>
              <v:stroke dashstyle="solid"/>
            </v:shape>
            <w10:wrap type="none"/>
          </v:group>
        </w:pict>
      </w:r>
      <w:r>
        <w:rPr/>
        <w:pict>
          <v:group style="position:absolute;margin-left:353.390015pt;margin-top:7.012241pt;width:20.55pt;height:9.65pt;mso-position-horizontal-relative:page;mso-position-vertical-relative:paragraph;z-index:6352" coordorigin="7068,140" coordsize="411,193">
            <v:shape style="position:absolute;left:7070;top:142;width:405;height:187" type="#_x0000_t75" stroked="false">
              <v:imagedata r:id="rId168" o:title=""/>
            </v:shape>
            <v:shape style="position:absolute;left:7070;top:142;width:405;height:187" coordorigin="7070,143" coordsize="405,187" path="m7273,143l7352,150,7416,170,7459,200,7475,236,7459,273,7416,302,7352,322,7273,330,7194,322,7130,302,7086,273,7070,236,7086,200,7130,170,7194,150,7273,143xe" filled="false" stroked="true" strokeweight=".262pt" strokecolor="#231f20">
              <v:path arrowok="t"/>
              <v:stroke dashstyle="solid"/>
            </v:shape>
            <w10:wrap type="none"/>
          </v:group>
        </w:pict>
      </w:r>
      <w:r>
        <w:rPr>
          <w:rFonts w:ascii="Arial"/>
          <w:color w:val="231F20"/>
          <w:w w:val="105"/>
          <w:sz w:val="14"/>
        </w:rPr>
        <w:t>Crust </w:t>
      </w:r>
      <w:r>
        <w:rPr>
          <w:rFonts w:ascii="Arial"/>
          <w:color w:val="231F20"/>
          <w:sz w:val="14"/>
        </w:rPr>
        <w:t>Mantle</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rPr>
      </w:pPr>
    </w:p>
    <w:p>
      <w:pPr>
        <w:spacing w:line="280" w:lineRule="atLeast" w:before="0"/>
        <w:ind w:left="1100" w:right="1539" w:firstLine="0"/>
        <w:jc w:val="left"/>
        <w:rPr>
          <w:rFonts w:ascii="Arial"/>
          <w:sz w:val="14"/>
        </w:rPr>
      </w:pPr>
      <w:r>
        <w:rPr>
          <w:rFonts w:ascii="Arial"/>
          <w:color w:val="231F20"/>
          <w:w w:val="105"/>
          <w:sz w:val="14"/>
        </w:rPr>
        <w:t>Felsic melts Mafic melt</w:t>
      </w:r>
    </w:p>
    <w:p>
      <w:pPr>
        <w:spacing w:after="0" w:line="280" w:lineRule="atLeast"/>
        <w:jc w:val="left"/>
        <w:rPr>
          <w:rFonts w:ascii="Arial"/>
          <w:sz w:val="14"/>
        </w:rPr>
        <w:sectPr>
          <w:type w:val="continuous"/>
          <w:pgSz w:w="12240" w:h="15840"/>
          <w:pgMar w:top="920" w:bottom="280" w:left="0" w:right="0"/>
          <w:cols w:num="3" w:equalWidth="0">
            <w:col w:w="5983" w:space="473"/>
            <w:col w:w="1578" w:space="459"/>
            <w:col w:w="3747"/>
          </w:cols>
        </w:sectPr>
      </w:pPr>
    </w:p>
    <w:p>
      <w:pPr>
        <w:pStyle w:val="BodyText"/>
        <w:spacing w:line="230" w:lineRule="auto"/>
        <w:ind w:left="1100"/>
        <w:jc w:val="both"/>
      </w:pPr>
      <w:r>
        <w:rPr/>
        <w:pict>
          <v:group style="position:absolute;margin-left:454.484985pt;margin-top:650.997009pt;width:20.55pt;height:9.65pt;mso-position-horizontal-relative:page;mso-position-vertical-relative:page;z-index:6304" coordorigin="9090,13020" coordsize="411,193">
            <v:shape style="position:absolute;left:9092;top:13022;width:405;height:187" coordorigin="9092,13023" coordsize="405,187" path="m9295,13023l9216,13030,9152,13050,9108,13080,9092,13116,9108,13152,9152,13182,9216,13202,9295,13209,9374,13202,9438,13182,9481,13152,9497,13116,9481,13080,9438,13050,9374,13030,9295,13023xe" filled="true" fillcolor="#47a5ae" stroked="false">
              <v:path arrowok="t"/>
              <v:fill type="solid"/>
            </v:shape>
            <v:shape style="position:absolute;left:9092;top:13022;width:405;height:187" coordorigin="9092,13023" coordsize="405,187" path="m9295,13023l9374,13030,9438,13050,9481,13080,9497,13116,9481,13152,9438,13182,9374,13202,9295,13209,9216,13202,9152,13182,9108,13152,9092,13116,9108,13080,9152,13050,9216,13030,9295,13023xe" filled="false" stroked="true" strokeweight=".262pt" strokecolor="#231f20">
              <v:path arrowok="t"/>
              <v:stroke dashstyle="solid"/>
            </v:shape>
            <w10:wrap type="none"/>
          </v:group>
        </w:pict>
      </w:r>
      <w:r>
        <w:rPr>
          <w:color w:val="231F20"/>
        </w:rPr>
        <w:t>crust is first heated, causing it to become buoyant. As this heated water rises up synvolcanic fault structures, cold sea- water is drawn in above the cooling intrusion. These origi- nally cold, near neutral pH fluids are progressively heated during their downward migration, interacting with the sur- rounding rocks at progressively higher temperatures. The isotherms above cooling sill complexes are generally hori-</w:t>
      </w:r>
    </w:p>
    <w:p>
      <w:pPr>
        <w:spacing w:line="230" w:lineRule="auto" w:before="114"/>
        <w:ind w:left="338" w:right="1095" w:firstLine="0"/>
        <w:jc w:val="both"/>
        <w:rPr>
          <w:sz w:val="16"/>
        </w:rPr>
      </w:pPr>
      <w:r>
        <w:rPr/>
        <w:br w:type="column"/>
      </w:r>
      <w:r>
        <w:rPr>
          <w:b/>
          <w:color w:val="231F20"/>
          <w:sz w:val="16"/>
        </w:rPr>
        <w:t>F</w:t>
      </w:r>
      <w:r>
        <w:rPr>
          <w:b/>
          <w:color w:val="231F20"/>
          <w:sz w:val="16"/>
          <w:vertAlign w:val="subscript"/>
        </w:rPr>
        <w:t>IGURE</w:t>
      </w:r>
      <w:r>
        <w:rPr>
          <w:b/>
          <w:color w:val="231F20"/>
          <w:sz w:val="16"/>
          <w:vertAlign w:val="baseline"/>
        </w:rPr>
        <w:t> 13. </w:t>
      </w:r>
      <w:r>
        <w:rPr>
          <w:color w:val="231F20"/>
          <w:sz w:val="16"/>
          <w:vertAlign w:val="baseline"/>
        </w:rPr>
        <w:t>VMS environments are characterized by tectonic extension at various scales (open arrows). Extension resulted in crustal thinning, mantle depressurization,</w:t>
      </w:r>
      <w:r>
        <w:rPr>
          <w:color w:val="231F20"/>
          <w:spacing w:val="-5"/>
          <w:sz w:val="16"/>
          <w:vertAlign w:val="baseline"/>
        </w:rPr>
        <w:t> </w:t>
      </w:r>
      <w:r>
        <w:rPr>
          <w:color w:val="231F20"/>
          <w:sz w:val="16"/>
          <w:vertAlign w:val="baseline"/>
        </w:rPr>
        <w:t>and</w:t>
      </w:r>
      <w:r>
        <w:rPr>
          <w:color w:val="231F20"/>
          <w:spacing w:val="-4"/>
          <w:sz w:val="16"/>
          <w:vertAlign w:val="baseline"/>
        </w:rPr>
        <w:t> </w:t>
      </w:r>
      <w:r>
        <w:rPr>
          <w:color w:val="231F20"/>
          <w:sz w:val="16"/>
          <w:vertAlign w:val="baseline"/>
        </w:rPr>
        <w:t>the</w:t>
      </w:r>
      <w:r>
        <w:rPr>
          <w:color w:val="231F20"/>
          <w:spacing w:val="-4"/>
          <w:sz w:val="16"/>
          <w:vertAlign w:val="baseline"/>
        </w:rPr>
        <w:t> </w:t>
      </w:r>
      <w:r>
        <w:rPr>
          <w:color w:val="231F20"/>
          <w:sz w:val="16"/>
          <w:vertAlign w:val="baseline"/>
        </w:rPr>
        <w:t>generation</w:t>
      </w:r>
      <w:r>
        <w:rPr>
          <w:color w:val="231F20"/>
          <w:spacing w:val="-5"/>
          <w:sz w:val="16"/>
          <w:vertAlign w:val="baseline"/>
        </w:rPr>
        <w:t> </w:t>
      </w:r>
      <w:r>
        <w:rPr>
          <w:color w:val="231F20"/>
          <w:sz w:val="16"/>
          <w:vertAlign w:val="baseline"/>
        </w:rPr>
        <w:t>of</w:t>
      </w:r>
      <w:r>
        <w:rPr>
          <w:color w:val="231F20"/>
          <w:spacing w:val="-5"/>
          <w:sz w:val="16"/>
          <w:vertAlign w:val="baseline"/>
        </w:rPr>
        <w:t> </w:t>
      </w:r>
      <w:r>
        <w:rPr>
          <w:color w:val="231F20"/>
          <w:sz w:val="16"/>
          <w:vertAlign w:val="baseline"/>
        </w:rPr>
        <w:t>basaltic</w:t>
      </w:r>
      <w:r>
        <w:rPr>
          <w:color w:val="231F20"/>
          <w:spacing w:val="-5"/>
          <w:sz w:val="16"/>
          <w:vertAlign w:val="baseline"/>
        </w:rPr>
        <w:t> </w:t>
      </w:r>
      <w:r>
        <w:rPr>
          <w:color w:val="231F20"/>
          <w:sz w:val="16"/>
          <w:vertAlign w:val="baseline"/>
        </w:rPr>
        <w:t>melts.</w:t>
      </w:r>
      <w:r>
        <w:rPr>
          <w:color w:val="231F20"/>
          <w:spacing w:val="-4"/>
          <w:sz w:val="16"/>
          <w:vertAlign w:val="baseline"/>
        </w:rPr>
        <w:t> </w:t>
      </w:r>
      <w:r>
        <w:rPr>
          <w:color w:val="231F20"/>
          <w:sz w:val="16"/>
          <w:vertAlign w:val="baseline"/>
        </w:rPr>
        <w:t>Depending</w:t>
      </w:r>
      <w:r>
        <w:rPr>
          <w:color w:val="231F20"/>
          <w:spacing w:val="-5"/>
          <w:sz w:val="16"/>
          <w:vertAlign w:val="baseline"/>
        </w:rPr>
        <w:t> </w:t>
      </w:r>
      <w:r>
        <w:rPr>
          <w:color w:val="231F20"/>
          <w:sz w:val="16"/>
          <w:vertAlign w:val="baseline"/>
        </w:rPr>
        <w:t>on</w:t>
      </w:r>
      <w:r>
        <w:rPr>
          <w:color w:val="231F20"/>
          <w:spacing w:val="-5"/>
          <w:sz w:val="16"/>
          <w:vertAlign w:val="baseline"/>
        </w:rPr>
        <w:t> </w:t>
      </w:r>
      <w:r>
        <w:rPr>
          <w:color w:val="231F20"/>
          <w:sz w:val="16"/>
          <w:vertAlign w:val="baseline"/>
        </w:rPr>
        <w:t>crustal thickness and density, these mafic melts ponded at the base of the crust, resulting in partial melting and generation of granitoid melts. These anhy- drous, high-temperature melts quickly rose to a subseafloor environment (&lt;3 km below seafloor), where their heat initiated and sustained convective hydrothermal cells that formed VMS deposits (black</w:t>
      </w:r>
      <w:r>
        <w:rPr>
          <w:color w:val="231F20"/>
          <w:spacing w:val="18"/>
          <w:sz w:val="16"/>
          <w:vertAlign w:val="baseline"/>
        </w:rPr>
        <w:t> </w:t>
      </w:r>
      <w:r>
        <w:rPr>
          <w:color w:val="231F20"/>
          <w:sz w:val="16"/>
          <w:vertAlign w:val="baseline"/>
        </w:rPr>
        <w:t>arrows).</w:t>
      </w:r>
    </w:p>
    <w:p>
      <w:pPr>
        <w:spacing w:after="0" w:line="230" w:lineRule="auto"/>
        <w:jc w:val="both"/>
        <w:rPr>
          <w:sz w:val="16"/>
        </w:rPr>
        <w:sectPr>
          <w:type w:val="continuous"/>
          <w:pgSz w:w="12240" w:h="15840"/>
          <w:pgMar w:top="920" w:bottom="280" w:left="0" w:right="0"/>
          <w:cols w:num="2" w:equalWidth="0">
            <w:col w:w="5942" w:space="40"/>
            <w:col w:w="6258"/>
          </w:cols>
        </w:sectPr>
      </w:pPr>
    </w:p>
    <w:p>
      <w:pPr>
        <w:pStyle w:val="BodyText"/>
        <w:spacing w:before="10"/>
        <w:rPr>
          <w:sz w:val="17"/>
        </w:rPr>
      </w:pPr>
    </w:p>
    <w:p>
      <w:pPr>
        <w:spacing w:before="0" w:after="14"/>
        <w:ind w:left="1091" w:right="0" w:firstLine="0"/>
        <w:jc w:val="left"/>
        <w:rPr>
          <w:rFonts w:ascii="Arial"/>
          <w:sz w:val="17"/>
        </w:rPr>
      </w:pPr>
      <w:r>
        <w:rPr>
          <w:rFonts w:ascii="Arial"/>
          <w:color w:val="231F20"/>
          <w:w w:val="103"/>
          <w:sz w:val="17"/>
        </w:rPr>
        <w:t>A</w:t>
      </w:r>
    </w:p>
    <w:p>
      <w:pPr>
        <w:pStyle w:val="BodyText"/>
        <w:spacing w:line="40" w:lineRule="exact"/>
        <w:ind w:left="1087" w:right="-67"/>
        <w:rPr>
          <w:rFonts w:ascii="Arial"/>
          <w:sz w:val="4"/>
        </w:rPr>
      </w:pPr>
      <w:r>
        <w:rPr>
          <w:rFonts w:ascii="Arial"/>
          <w:position w:val="0"/>
          <w:sz w:val="4"/>
        </w:rPr>
        <w:pict>
          <v:group style="width:223.75pt;height:2pt;mso-position-horizontal-relative:char;mso-position-vertical-relative:line" coordorigin="0,0" coordsize="4475,40">
            <v:shape style="position:absolute;left:4231;top:3;width:240;height:33" coordorigin="4232,3" coordsize="240,33" path="m4232,3l4253,23,4275,34,4296,35,4317,28,4358,3,4392,28,4409,36,4428,34,4449,23,4471,3e" filled="false" stroked="true" strokeweight=".339pt" strokecolor="#231f20">
              <v:path arrowok="t"/>
              <v:stroke dashstyle="solid"/>
            </v:shape>
            <v:shape style="position:absolute;left:3993;top:3;width:240;height:33" coordorigin="3993,3" coordsize="240,33" path="m3993,3l4015,23,4036,34,4058,35,4078,28,4120,3,4153,28,4171,36,4190,34,4210,23,4232,3e" filled="false" stroked="true" strokeweight=".339pt" strokecolor="#231f20">
              <v:path arrowok="t"/>
              <v:stroke dashstyle="solid"/>
            </v:shape>
            <v:shape style="position:absolute;left:3741;top:3;width:252;height:33" coordorigin="3741,3" coordsize="252,33" path="m3741,3l3763,23,3785,34,3806,35,3827,28,3868,3,3901,28,3920,36,3941,34,3965,23,3993,3e" filled="false" stroked="true" strokeweight=".339pt" strokecolor="#231f20">
              <v:path arrowok="t"/>
              <v:stroke dashstyle="solid"/>
            </v:shape>
            <v:shape style="position:absolute;left:3489;top:3;width:252;height:33" coordorigin="3489,3" coordsize="252,33" path="m3489,3l3511,23,3533,34,3554,35,3575,28,3616,3,3650,28,3668,36,3689,34,3714,23,3741,3e" filled="false" stroked="true" strokeweight=".339pt" strokecolor="#231f20">
              <v:path arrowok="t"/>
              <v:stroke dashstyle="solid"/>
            </v:shape>
            <v:shape style="position:absolute;left:3237;top:3;width:252;height:33" coordorigin="3238,3" coordsize="252,33" path="m3238,3l3259,23,3281,34,3302,35,3323,28,3364,3,3398,28,3416,36,3437,34,3462,23,3489,3e" filled="false" stroked="true" strokeweight=".339pt" strokecolor="#231f20">
              <v:path arrowok="t"/>
              <v:stroke dashstyle="solid"/>
            </v:shape>
            <v:shape style="position:absolute;left:2998;top:3;width:240;height:33" coordorigin="2999,3" coordsize="240,33" path="m2999,3l3021,23,3042,34,3063,35,3084,28,3125,3,3159,28,3176,36,3195,34,3216,23,3238,3e" filled="false" stroked="true" strokeweight=".339pt" strokecolor="#231f20">
              <v:path arrowok="t"/>
              <v:stroke dashstyle="solid"/>
            </v:shape>
            <v:shape style="position:absolute;left:2746;top:3;width:252;height:33" coordorigin="2747,3" coordsize="252,33" path="m2747,3l2769,23,2790,34,2811,35,2832,28,2874,3,2907,28,2925,36,2947,34,2971,23,2998,3e" filled="false" stroked="true" strokeweight=".339pt" strokecolor="#231f20">
              <v:path arrowok="t"/>
              <v:stroke dashstyle="solid"/>
            </v:shape>
            <v:shape style="position:absolute;left:2495;top:3;width:252;height:33" coordorigin="2495,3" coordsize="252,33" path="m2495,3l2517,23,2538,34,2559,35,2580,28,2622,3,2655,28,2673,36,2695,34,2719,23,2746,3e" filled="false" stroked="true" strokeweight=".339pt" strokecolor="#231f20">
              <v:path arrowok="t"/>
              <v:stroke dashstyle="solid"/>
            </v:shape>
            <v:shape style="position:absolute;left:2243;top:3;width:252;height:33" coordorigin="2243,3" coordsize="252,33" path="m2243,3l2265,23,2286,34,2308,35,2328,28,2370,3,2403,28,2422,36,2443,34,2467,23,2495,3e" filled="false" stroked="true" strokeweight=".339pt" strokecolor="#231f20">
              <v:path arrowok="t"/>
              <v:stroke dashstyle="solid"/>
            </v:shape>
            <v:shape style="position:absolute;left:1991;top:3;width:252;height:33" coordorigin="1991,3" coordsize="252,33" path="m1991,3l2013,23,2034,34,2056,35,2077,28,2118,3,2151,28,2170,36,2191,34,2215,23,2243,3e" filled="false" stroked="true" strokeweight=".339pt" strokecolor="#231f20">
              <v:path arrowok="t"/>
              <v:stroke dashstyle="solid"/>
            </v:shape>
            <v:shape style="position:absolute;left:1739;top:3;width:252;height:33" coordorigin="1739,3" coordsize="252,33" path="m1739,3l1761,23,1783,34,1804,35,1825,28,1866,3,1900,28,1918,36,1939,34,1963,23,1991,3e" filled="false" stroked="true" strokeweight=".339pt" strokecolor="#231f20">
              <v:path arrowok="t"/>
              <v:stroke dashstyle="solid"/>
            </v:shape>
            <v:shape style="position:absolute;left:1487;top:3;width:252;height:33" coordorigin="1488,3" coordsize="252,33" path="m1488,3l1509,23,1531,34,1552,35,1573,28,1614,3,1648,28,1666,36,1687,34,1712,23,1739,3e" filled="false" stroked="true" strokeweight=".339pt" strokecolor="#231f20">
              <v:path arrowok="t"/>
              <v:stroke dashstyle="solid"/>
            </v:shape>
            <v:shape style="position:absolute;left:1235;top:3;width:252;height:33" coordorigin="1236,3" coordsize="252,33" path="m1236,3l1257,23,1279,34,1300,35,1321,28,1362,3,1396,28,1414,36,1435,34,1460,23,1487,3e" filled="false" stroked="true" strokeweight=".339pt" strokecolor="#231f20">
              <v:path arrowok="t"/>
              <v:stroke dashstyle="solid"/>
            </v:shape>
            <v:shape style="position:absolute;left:983;top:3;width:252;height:33" coordorigin="984,3" coordsize="252,33" path="m984,3l1006,23,1027,34,1048,35,1069,28,1110,3,1144,28,1162,36,1184,34,1208,23,1235,3e" filled="false" stroked="true" strokeweight=".339pt" strokecolor="#231f20">
              <v:path arrowok="t"/>
              <v:stroke dashstyle="solid"/>
            </v:shape>
            <v:shape style="position:absolute;left:731;top:3;width:252;height:33" coordorigin="732,3" coordsize="252,33" path="m732,3l754,23,775,34,796,35,817,28,859,3,892,28,910,36,932,34,956,23,983,3e" filled="false" stroked="true" strokeweight=".339pt" strokecolor="#231f20">
              <v:path arrowok="t"/>
              <v:stroke dashstyle="solid"/>
            </v:shape>
            <v:shape style="position:absolute;left:480;top:3;width:252;height:33" coordorigin="480,3" coordsize="252,33" path="m480,3l502,23,523,34,544,35,565,28,607,3,640,28,659,36,680,34,704,23,732,3e" filled="false" stroked="true" strokeweight=".339pt" strokecolor="#231f20">
              <v:path arrowok="t"/>
              <v:stroke dashstyle="solid"/>
            </v:shape>
            <v:shape style="position:absolute;left:228;top:3;width:252;height:33" coordorigin="228,3" coordsize="252,33" path="m228,3l250,23,271,34,293,35,313,28,355,3,388,28,407,36,428,34,452,23,480,3e" filled="false" stroked="true" strokeweight=".339pt" strokecolor="#231f20">
              <v:path arrowok="t"/>
              <v:stroke dashstyle="solid"/>
            </v:shape>
            <v:shape style="position:absolute;left:3;top:3;width:225;height:33" coordorigin="3,3" coordsize="225,33" path="m3,25l16,32,30,35,46,32,64,24,103,3,137,28,155,36,176,34,200,23,228,3e" filled="false" stroked="true" strokeweight=".339pt" strokecolor="#231f20">
              <v:path arrowok="t"/>
              <v:stroke dashstyle="solid"/>
            </v:shape>
          </v:group>
        </w:pict>
      </w:r>
      <w:r>
        <w:rPr>
          <w:rFonts w:ascii="Arial"/>
          <w:position w:val="0"/>
          <w:sz w:val="4"/>
        </w:rPr>
      </w:r>
    </w:p>
    <w:p>
      <w:pPr>
        <w:spacing w:before="27"/>
        <w:ind w:left="3008" w:right="0" w:firstLine="0"/>
        <w:jc w:val="left"/>
        <w:rPr>
          <w:rFonts w:ascii="Arial"/>
          <w:sz w:val="14"/>
        </w:rPr>
      </w:pPr>
      <w:r>
        <w:rPr/>
        <w:pict>
          <v:group style="position:absolute;margin-left:54.419498pt;margin-top:8.962194pt;width:223.25pt;height:69.650pt;mso-position-horizontal-relative:page;mso-position-vertical-relative:paragraph;z-index:-176896" coordorigin="1088,179" coordsize="4465,1393">
            <v:shape style="position:absolute;left:1390;top:449;width:3849;height:307" coordorigin="1391,449" coordsize="3849,307" path="m5240,449l1391,449,1526,756,5051,756,5132,675,5240,449xe" filled="true" fillcolor="#56c5d0" stroked="false">
              <v:path arrowok="t"/>
              <v:fill type="solid"/>
            </v:shape>
            <v:shape style="position:absolute;left:1390;top:449;width:3849;height:307" coordorigin="1391,449" coordsize="3849,307" path="m1391,449l1526,756,5051,756,5132,675,5240,449,1391,449xe" filled="false" stroked="true" strokeweight=".159pt" strokecolor="#231f20">
              <v:path arrowok="t"/>
              <v:stroke dashstyle="solid"/>
            </v:shape>
            <v:line style="position:absolute" from="1373,421" to="5267,421" stroked="true" strokeweight="2.470pt" strokecolor="#44c8f4">
              <v:stroke dashstyle="solid"/>
            </v:line>
            <v:shape style="position:absolute;left:1971;top:244;width:175;height:121" type="#_x0000_t75" stroked="false">
              <v:imagedata r:id="rId171" o:title=""/>
            </v:shape>
            <v:shape style="position:absolute;left:1681;top:187;width:618;height:494" coordorigin="1681,187" coordsize="618,494" path="m1681,449l1699,533,1741,599,1807,655,1892,681,1934,678,2010,647,2079,588,2124,494,2143,379,2148,336,2155,297,2190,219,2240,187,2253,189,2265,195,2276,208,2285,232,2293,266,2298,311e" filled="false" stroked="true" strokeweight=".339pt" strokecolor="#231f20">
              <v:path arrowok="t"/>
              <v:stroke dashstyle="solid"/>
            </v:shape>
            <v:shape style="position:absolute;left:2775;top:196;width:155;height:252" type="#_x0000_t75" stroked="false">
              <v:imagedata r:id="rId172" o:title=""/>
            </v:shape>
            <v:shape style="position:absolute;left:2929;top:225;width:392;height:474" coordorigin="2930,225" coordsize="392,474" path="m3321,425l3302,506,3259,600,3196,662,3137,691,3074,699,3045,697,2971,655,2943,588,2931,506,2930,451,2933,394,2959,295,3005,237,3053,225,3072,235,3080,245,3086,262,3090,284,3092,311e" filled="false" stroked="true" strokeweight=".339pt" strokecolor="#231f20">
              <v:path arrowok="t"/>
              <v:stroke dashstyle="solid"/>
            </v:shape>
            <v:shape style="position:absolute;left:3613;top:204;width:210;height:193" type="#_x0000_t75" stroked="false">
              <v:imagedata r:id="rId173" o:title=""/>
            </v:shape>
            <v:shape style="position:absolute;left:3322;top:200;width:675;height:450" coordorigin="3323,200" coordsize="675,450" path="m3323,421l3327,511,3354,586,3403,630,3473,649,3512,649,3552,644,3636,619,3720,577,3783,513,3816,434,3823,349,3823,324,3830,263,3893,204,3920,200,3948,204,3995,255,3997,279,3997,310e" filled="false" stroked="true" strokeweight=".339pt" strokecolor="#231f20">
              <v:path arrowok="t"/>
              <v:stroke dashstyle="solid"/>
            </v:shape>
            <v:shape style="position:absolute;left:4419;top:179;width:206;height:222" type="#_x0000_t75" stroked="false">
              <v:imagedata r:id="rId174" o:title=""/>
            </v:shape>
            <v:shape style="position:absolute;left:-1051;top:14226;width:4459;height:368" coordorigin="-1050,14226" coordsize="4459,368" path="m4848,276l4868,304,4885,276m4870,293l4867,265,4861,246,4852,233,4839,224,4822,219,4801,214,4778,214,4752,218,4725,227,4700,241,4677,259,4657,280,4641,306,4628,338,4621,375,4622,416,4628,456,4639,490,4655,519,4677,543,4702,562,4731,574,4763,580,4800,581,4839,576,4875,564,4909,544,4943,513,4972,479,4991,448,5005,417,5017,383m5265,397l1373,397m1393,445l5246,445m5550,283l5317,283,5204,548m1092,283l1325,283,1438,548e" filled="false" stroked="true" strokeweight=".339pt" strokecolor="#231f20">
              <v:path arrowok="t"/>
              <v:stroke dashstyle="solid"/>
            </v:shape>
            <v:shape style="position:absolute;left:-54;top:14204;width:2922;height:1287" coordorigin="-54,14205" coordsize="2922,1287" path="m1146,451l1146,1568m1092,1568l1205,1568m1092,451l1205,451m3663,589l3702,589,3677,622m3246,589l3239,624,3273,611m3348,553l3351,582,3324,568m3981,285l3996,311,4014,286m3604,298l3617,329,3638,299m3076,291l3093,312,3103,290m2764,283l2779,308,2794,282m2275,287l2299,312,2312,283m1960,310l1974,338,1996,313e" filled="false" stroked="true" strokeweight=".339pt" strokecolor="#231f20">
              <v:path arrowok="t"/>
              <v:stroke dashstyle="solid"/>
            </v:shape>
            <v:shape style="position:absolute;left:1128;top:451;width:36;height:1118" coordorigin="1128,451" coordsize="36,1118" path="m1163,1520l1128,1520,1146,1568,1163,1520m1163,499l1146,451,1128,499,1163,499e" filled="true" fillcolor="#231f20" stroked="false">
              <v:path arrowok="t"/>
              <v:fill type="solid"/>
            </v:shape>
            <w10:wrap type="none"/>
          </v:group>
        </w:pict>
      </w:r>
      <w:r>
        <w:rPr>
          <w:rFonts w:ascii="Arial"/>
          <w:color w:val="231F20"/>
          <w:w w:val="105"/>
          <w:sz w:val="14"/>
        </w:rPr>
        <w:t>+ Si,Fe,Mn</w:t>
      </w:r>
    </w:p>
    <w:p>
      <w:pPr>
        <w:pStyle w:val="BodyText"/>
        <w:rPr>
          <w:rFonts w:ascii="Arial"/>
          <w:sz w:val="16"/>
        </w:rPr>
      </w:pPr>
    </w:p>
    <w:p>
      <w:pPr>
        <w:pStyle w:val="BodyText"/>
        <w:spacing w:before="10"/>
        <w:rPr>
          <w:rFonts w:ascii="Arial"/>
          <w:sz w:val="17"/>
        </w:rPr>
      </w:pPr>
    </w:p>
    <w:p>
      <w:pPr>
        <w:tabs>
          <w:tab w:pos="2124" w:val="left" w:leader="none"/>
          <w:tab w:pos="3672" w:val="left" w:leader="none"/>
        </w:tabs>
        <w:spacing w:before="0"/>
        <w:ind w:left="1428" w:right="0" w:firstLine="0"/>
        <w:jc w:val="center"/>
        <w:rPr>
          <w:rFonts w:ascii="Arial" w:hAnsi="Arial"/>
          <w:sz w:val="14"/>
        </w:rPr>
      </w:pPr>
      <w:r>
        <w:rPr/>
        <w:pict>
          <v:shape style="position:absolute;margin-left:56.580177pt;margin-top:5.336346pt;width:10.25pt;height:27.55pt;mso-position-horizontal-relative:page;mso-position-vertical-relative:paragraph;z-index:6784" type="#_x0000_t202" filled="false" stroked="false">
            <v:textbox inset="0,0,0,0" style="layout-flow:vertical;mso-layout-flow-alt:bottom-to-top">
              <w:txbxContent>
                <w:p>
                  <w:pPr>
                    <w:spacing w:before="21"/>
                    <w:ind w:left="20" w:right="0" w:firstLine="0"/>
                    <w:jc w:val="left"/>
                    <w:rPr>
                      <w:rFonts w:ascii="Arial"/>
                      <w:sz w:val="14"/>
                    </w:rPr>
                  </w:pPr>
                  <w:r>
                    <w:rPr>
                      <w:rFonts w:ascii="Arial"/>
                      <w:color w:val="231F20"/>
                      <w:w w:val="105"/>
                      <w:sz w:val="14"/>
                    </w:rPr>
                    <w:t>5000 m</w:t>
                  </w:r>
                </w:p>
              </w:txbxContent>
            </v:textbox>
            <w10:wrap type="none"/>
          </v:shape>
        </w:pict>
      </w:r>
      <w:r>
        <w:rPr>
          <w:rFonts w:ascii="Arial" w:hAnsi="Arial"/>
          <w:color w:val="231F20"/>
          <w:w w:val="104"/>
          <w:position w:val="2"/>
          <w:sz w:val="14"/>
          <w:u w:val="dotted" w:color="231F20"/>
        </w:rPr>
        <w:t> </w:t>
      </w:r>
      <w:r>
        <w:rPr>
          <w:rFonts w:ascii="Arial" w:hAnsi="Arial"/>
          <w:color w:val="231F20"/>
          <w:position w:val="2"/>
          <w:sz w:val="14"/>
          <w:u w:val="dotted" w:color="231F20"/>
        </w:rPr>
        <w:tab/>
      </w:r>
      <w:r>
        <w:rPr>
          <w:rFonts w:ascii="Arial" w:hAnsi="Arial"/>
          <w:color w:val="231F20"/>
          <w:w w:val="105"/>
          <w:position w:val="2"/>
          <w:sz w:val="14"/>
          <w:u w:val="dotted" w:color="231F20"/>
        </w:rPr>
        <w:t>+</w:t>
      </w:r>
      <w:r>
        <w:rPr>
          <w:rFonts w:ascii="Arial" w:hAnsi="Arial"/>
          <w:color w:val="231F20"/>
          <w:spacing w:val="0"/>
          <w:w w:val="105"/>
          <w:position w:val="2"/>
          <w:sz w:val="14"/>
          <w:u w:val="dotted" w:color="231F20"/>
        </w:rPr>
        <w:t> </w:t>
      </w:r>
      <w:r>
        <w:rPr>
          <w:rFonts w:ascii="Arial" w:hAnsi="Arial"/>
          <w:color w:val="231F20"/>
          <w:spacing w:val="3"/>
          <w:w w:val="105"/>
          <w:position w:val="2"/>
          <w:sz w:val="14"/>
          <w:u w:val="dotted" w:color="231F20"/>
        </w:rPr>
        <w:t>K,Mg,SO</w:t>
      </w:r>
      <w:r>
        <w:rPr>
          <w:rFonts w:ascii="Arial" w:hAnsi="Arial"/>
          <w:color w:val="231F20"/>
          <w:spacing w:val="3"/>
          <w:w w:val="105"/>
          <w:sz w:val="11"/>
          <w:u w:val="dotted" w:color="231F20"/>
        </w:rPr>
        <w:t>4</w:t>
        <w:tab/>
      </w:r>
      <w:r>
        <w:rPr>
          <w:rFonts w:ascii="Arial" w:hAnsi="Arial"/>
          <w:color w:val="231F20"/>
          <w:w w:val="105"/>
          <w:position w:val="1"/>
          <w:sz w:val="14"/>
          <w:u w:val="dotted" w:color="231F20"/>
        </w:rPr>
        <w:t>- </w:t>
      </w:r>
      <w:r>
        <w:rPr>
          <w:rFonts w:ascii="Arial" w:hAnsi="Arial"/>
          <w:color w:val="231F20"/>
          <w:spacing w:val="3"/>
          <w:w w:val="105"/>
          <w:position w:val="1"/>
          <w:sz w:val="14"/>
          <w:u w:val="dotted" w:color="231F20"/>
        </w:rPr>
        <w:t>Si,Ca, </w:t>
      </w:r>
      <w:r>
        <w:rPr>
          <w:rFonts w:ascii="Arial" w:hAnsi="Arial"/>
          <w:color w:val="231F20"/>
          <w:spacing w:val="2"/>
          <w:w w:val="105"/>
          <w:position w:val="1"/>
          <w:sz w:val="14"/>
          <w:u w:val="dotted" w:color="231F20"/>
        </w:rPr>
        <w:t>Na, Fe, </w:t>
      </w:r>
      <w:r>
        <w:rPr>
          <w:rFonts w:ascii="Arial" w:hAnsi="Arial"/>
          <w:color w:val="231F20"/>
          <w:spacing w:val="1"/>
          <w:w w:val="105"/>
          <w:position w:val="1"/>
          <w:sz w:val="14"/>
          <w:u w:val="dotted" w:color="231F20"/>
        </w:rPr>
        <w:t>Mn</w:t>
      </w:r>
      <w:r>
        <w:rPr>
          <w:rFonts w:ascii="Arial" w:hAnsi="Arial"/>
          <w:color w:val="231F20"/>
          <w:spacing w:val="1"/>
          <w:w w:val="105"/>
          <w:position w:val="1"/>
          <w:sz w:val="14"/>
        </w:rPr>
        <w:t>  </w:t>
      </w:r>
      <w:r>
        <w:rPr>
          <w:rFonts w:ascii="Arial" w:hAnsi="Arial"/>
          <w:color w:val="231F20"/>
          <w:spacing w:val="11"/>
          <w:w w:val="105"/>
          <w:position w:val="1"/>
          <w:sz w:val="14"/>
        </w:rPr>
        <w:t> </w:t>
      </w:r>
      <w:r>
        <w:rPr>
          <w:rFonts w:ascii="Arial" w:hAnsi="Arial"/>
          <w:color w:val="231F20"/>
          <w:w w:val="105"/>
          <w:position w:val="-6"/>
          <w:sz w:val="14"/>
        </w:rPr>
        <w:t>200°C</w:t>
      </w:r>
    </w:p>
    <w:p>
      <w:pPr>
        <w:tabs>
          <w:tab w:pos="4989" w:val="left" w:leader="none"/>
        </w:tabs>
        <w:spacing w:before="182"/>
        <w:ind w:left="1428" w:right="0" w:firstLine="0"/>
        <w:jc w:val="center"/>
        <w:rPr>
          <w:rFonts w:ascii="Arial" w:hAnsi="Arial"/>
          <w:sz w:val="14"/>
        </w:rPr>
      </w:pPr>
      <w:r>
        <w:rPr/>
        <w:pict>
          <v:group style="position:absolute;margin-left:74.345497pt;margin-top:5.325168pt;width:173.55pt;height:37.15pt;mso-position-horizontal-relative:page;mso-position-vertical-relative:paragraph;z-index:-176848" coordorigin="1487,107" coordsize="3471,743">
            <v:shape style="position:absolute;left:1490;top:669;width:3460;height:180" coordorigin="1490,669" coordsize="3460,180" path="m2153,671l2128,671,2102,672,2078,673,2025,677,1998,680,1977,683,1953,685,1920,686,1689,690,1653,691,1623,693,1597,696,1576,701,1560,707,1545,715,1527,725,1509,736,1498,745,1490,752,1503,771,1511,780,1523,786,1539,792,1558,795,1582,798,1611,801,1644,803,1682,806,1720,809,1755,814,1787,820,1815,827,1846,835,1885,841,1933,845,1989,847,2023,848,2112,849,2684,838,2900,831,2974,827,3118,823,4396,818,4525,816,4582,814,4632,812,4677,809,4719,807,4756,803,4790,800,4819,796,4845,792,4866,787,4883,782,4911,771,4931,758,4944,743,4950,727,4950,712,4944,702,4730,702,4697,702,4666,700,2595,700,2555,700,2477,696,2401,692,2365,690,2330,686,2235,676,2213,674,2195,672,2175,671,2153,671xm4396,818l3712,818,4160,820,4396,818xm4917,694l4848,698,4789,700,4730,702,4944,702,4944,701,4933,695,4917,694xm3563,679l3400,680,3314,680,3277,681,3152,690,3120,691,3083,692,3010,692,2976,692,2910,694,2672,699,2634,700,2595,700,4666,700,4659,700,4553,695,4392,683,4385,683,3709,683,3680,682,3654,680,3636,680,3400,680,3629,679,3563,679xm4210,669l4187,670,4040,672,3842,680,3743,683,3709,683,4385,683,4273,673,4236,670,4210,669xe" filled="true" fillcolor="#faa74a" stroked="false">
              <v:path arrowok="t"/>
              <v:fill type="solid"/>
            </v:shape>
            <v:shape style="position:absolute;left:-2274;top:11692;width:3464;height:641" coordorigin="-2274,11692" coordsize="3464,641" path="m4678,143l4700,110,4721,142m4699,114l4698,140,4686,160,4675,177,4675,194,4684,210,4699,223,4714,238,4721,257,4718,276,4703,292,4684,308,4671,324,4668,341,4678,358,4694,375,4706,395,4711,415,4703,434,4688,452,4673,469,4663,487,4662,505,4670,523,4686,540,4702,558,4708,577,4705,596,4691,613,4677,629,4671,646,4670,661,4669,669m3792,143l3813,110,3835,142m3812,114l3811,140,3799,160,3788,177,3788,194,3797,210,3812,223,3827,238,3835,257,3832,276,3816,292,3797,308,3785,324,3782,341,3792,358,3807,375,3820,395,3825,415,3816,434,3801,452,3786,469,3776,487,3775,505,3783,523,3799,540,3815,558,3822,577,3819,596,3805,613,3791,629,3785,646,3783,661,3783,669m3122,143l3143,110,3164,142m3142,114l3141,140,3129,160,3118,177,3118,194,3127,210,3142,223,3157,238,3164,257,3162,276,3146,292,3127,308,3114,324,3111,341,3122,358,3137,375,3150,395,3154,415,3146,434,3131,452,3116,469,3106,487,3105,505,3113,523,3129,540,3145,558,3151,577,3148,596,3135,613,3120,629,3114,646,3113,661,3112,669m2459,143l2480,110,2501,142m2479,114l2478,140,2466,160,2455,177,2455,194,2464,210,2479,223,2494,238,2501,257,2499,276,2483,292,2464,308,2451,324,2448,341,2459,358,2474,375,2487,395,2491,415,2483,434,2468,452,2453,469,2443,487,2442,505,2450,523,2466,540,2482,558,2488,577,2485,596,2472,613,2457,629,2451,646,2450,661,2449,669m1751,143l1772,110,1794,142m1771,114l1770,140,1758,160,1747,177,1747,194,1756,210,1771,223,1786,238,1794,257,1791,276,1775,292,1756,308,1744,324,1741,341,1751,358,1766,375,1779,395,1784,415,1775,434,1760,452,1745,469,1735,487,1734,505,1742,523,1758,540,1774,558,1781,577,1778,596,1764,613,1750,629,1744,646,1742,661,1742,669m1490,751l1537,720,1575,702,1613,694,1659,691,1710,690,1763,689,1820,688,1881,687,1940,686,1988,682,2034,677,2083,673,2132,672,2177,672,2215,674,2245,677,2275,680,2312,685,2354,690,2403,694,2452,696,2496,698,2542,700,2596,700,2663,700,2742,698,2822,697,2891,695,2952,693,3011,693,3065,693,3113,692,3165,690,3228,685,3296,681,3362,680,3427,680,3492,679,3553,678,3604,679,3649,680,3692,683,3718,683,3755,683,3801,682,3857,680,3914,677,3962,675,4002,674,4032,673,4087,672,4146,670,4205,670,4259,672,4318,677,4389,683,4465,690,4541,695,4615,698,4691,701,4761,702,4820,700,4880,697,4954,693e" filled="false" stroked="true" strokeweight=".339pt" strokecolor="#231f20">
              <v:path arrowok="t"/>
              <v:stroke dashstyle="solid"/>
            </v:shape>
            <w10:wrap type="none"/>
          </v:group>
        </w:pict>
      </w:r>
      <w:r>
        <w:rPr>
          <w:rFonts w:ascii="Arial" w:hAnsi="Arial"/>
          <w:color w:val="231F20"/>
          <w:w w:val="104"/>
          <w:sz w:val="14"/>
          <w:u w:val="dotted" w:color="231F20"/>
        </w:rPr>
        <w:t> </w:t>
      </w:r>
      <w:r>
        <w:rPr>
          <w:rFonts w:ascii="Arial" w:hAnsi="Arial"/>
          <w:color w:val="231F20"/>
          <w:sz w:val="14"/>
          <w:u w:val="dotted" w:color="231F20"/>
        </w:rPr>
        <w:tab/>
      </w:r>
      <w:r>
        <w:rPr>
          <w:rFonts w:ascii="Arial" w:hAnsi="Arial"/>
          <w:color w:val="231F20"/>
          <w:sz w:val="14"/>
        </w:rPr>
        <w:t>   </w:t>
      </w:r>
      <w:r>
        <w:rPr>
          <w:rFonts w:ascii="Arial" w:hAnsi="Arial"/>
          <w:color w:val="231F20"/>
          <w:spacing w:val="3"/>
          <w:sz w:val="14"/>
        </w:rPr>
        <w:t> </w:t>
      </w:r>
      <w:r>
        <w:rPr>
          <w:rFonts w:ascii="Arial" w:hAnsi="Arial"/>
          <w:color w:val="231F20"/>
          <w:spacing w:val="-1"/>
          <w:w w:val="105"/>
          <w:sz w:val="14"/>
        </w:rPr>
        <w:t>300°C</w:t>
      </w:r>
    </w:p>
    <w:p>
      <w:pPr>
        <w:pStyle w:val="BodyText"/>
        <w:spacing w:before="6"/>
        <w:rPr>
          <w:rFonts w:ascii="Arial"/>
          <w:sz w:val="13"/>
        </w:rPr>
      </w:pPr>
    </w:p>
    <w:p>
      <w:pPr>
        <w:tabs>
          <w:tab w:pos="4989" w:val="left" w:leader="none"/>
        </w:tabs>
        <w:spacing w:before="0"/>
        <w:ind w:left="1428" w:right="0" w:firstLine="0"/>
        <w:jc w:val="center"/>
        <w:rPr>
          <w:rFonts w:ascii="Arial" w:hAnsi="Arial"/>
          <w:sz w:val="14"/>
        </w:rPr>
      </w:pPr>
      <w:r>
        <w:rPr>
          <w:rFonts w:ascii="Arial" w:hAnsi="Arial"/>
          <w:color w:val="231F20"/>
          <w:w w:val="104"/>
          <w:sz w:val="14"/>
          <w:u w:val="dotted" w:color="231F20"/>
        </w:rPr>
        <w:t> </w:t>
      </w:r>
      <w:r>
        <w:rPr>
          <w:rFonts w:ascii="Arial" w:hAnsi="Arial"/>
          <w:color w:val="231F20"/>
          <w:sz w:val="14"/>
          <w:u w:val="dotted" w:color="231F20"/>
        </w:rPr>
        <w:tab/>
      </w:r>
      <w:r>
        <w:rPr>
          <w:rFonts w:ascii="Arial" w:hAnsi="Arial"/>
          <w:color w:val="231F20"/>
          <w:sz w:val="14"/>
        </w:rPr>
        <w:t>   </w:t>
      </w:r>
      <w:r>
        <w:rPr>
          <w:rFonts w:ascii="Arial" w:hAnsi="Arial"/>
          <w:color w:val="231F20"/>
          <w:spacing w:val="3"/>
          <w:sz w:val="14"/>
        </w:rPr>
        <w:t> </w:t>
      </w:r>
      <w:r>
        <w:rPr>
          <w:rFonts w:ascii="Arial" w:hAnsi="Arial"/>
          <w:color w:val="231F20"/>
          <w:spacing w:val="-1"/>
          <w:w w:val="105"/>
          <w:sz w:val="14"/>
        </w:rPr>
        <w:t>400°C</w:t>
      </w:r>
    </w:p>
    <w:p>
      <w:pPr>
        <w:pStyle w:val="BodyText"/>
        <w:spacing w:before="3"/>
        <w:rPr>
          <w:rFonts w:ascii="Arial"/>
          <w:sz w:val="14"/>
        </w:rPr>
      </w:pPr>
    </w:p>
    <w:p>
      <w:pPr>
        <w:spacing w:before="0"/>
        <w:ind w:left="1268" w:right="0" w:firstLine="0"/>
        <w:jc w:val="center"/>
        <w:rPr>
          <w:rFonts w:ascii="Arial"/>
          <w:sz w:val="14"/>
        </w:rPr>
      </w:pPr>
      <w:r>
        <w:rPr>
          <w:rFonts w:ascii="Arial"/>
          <w:color w:val="231F20"/>
          <w:w w:val="105"/>
          <w:sz w:val="14"/>
        </w:rPr>
        <w:t>Deep Intrusion</w:t>
      </w:r>
    </w:p>
    <w:p>
      <w:pPr>
        <w:tabs>
          <w:tab w:pos="2621" w:val="left" w:leader="none"/>
        </w:tabs>
        <w:spacing w:before="19"/>
        <w:ind w:left="1095" w:right="0" w:firstLine="0"/>
        <w:jc w:val="left"/>
        <w:rPr>
          <w:rFonts w:ascii="Arial"/>
          <w:b/>
          <w:sz w:val="14"/>
        </w:rPr>
      </w:pPr>
      <w:r>
        <w:rPr>
          <w:rFonts w:ascii="Arial"/>
          <w:color w:val="231F20"/>
          <w:w w:val="105"/>
          <w:position w:val="-9"/>
          <w:sz w:val="17"/>
        </w:rPr>
        <w:t>B</w:t>
        <w:tab/>
      </w:r>
      <w:r>
        <w:rPr>
          <w:rFonts w:ascii="Arial"/>
          <w:b/>
          <w:color w:val="231F20"/>
          <w:w w:val="105"/>
          <w:sz w:val="14"/>
        </w:rPr>
        <w:t>SHALLOW</w:t>
      </w:r>
      <w:r>
        <w:rPr>
          <w:rFonts w:ascii="Arial"/>
          <w:b/>
          <w:color w:val="231F20"/>
          <w:spacing w:val="-1"/>
          <w:w w:val="105"/>
          <w:sz w:val="14"/>
        </w:rPr>
        <w:t> </w:t>
      </w:r>
      <w:r>
        <w:rPr>
          <w:rFonts w:ascii="Arial"/>
          <w:b/>
          <w:color w:val="231F20"/>
          <w:w w:val="105"/>
          <w:sz w:val="14"/>
        </w:rPr>
        <w:t>CONVECTION</w:t>
      </w:r>
    </w:p>
    <w:p>
      <w:pPr>
        <w:pStyle w:val="BodyText"/>
        <w:spacing w:line="40" w:lineRule="exact"/>
        <w:ind w:left="1087" w:right="-67"/>
        <w:rPr>
          <w:rFonts w:ascii="Arial"/>
          <w:sz w:val="4"/>
        </w:rPr>
      </w:pPr>
      <w:r>
        <w:rPr>
          <w:rFonts w:ascii="Arial"/>
          <w:position w:val="0"/>
          <w:sz w:val="4"/>
        </w:rPr>
        <w:pict>
          <v:group style="width:223.75pt;height:2pt;mso-position-horizontal-relative:char;mso-position-vertical-relative:line" coordorigin="0,0" coordsize="4475,40">
            <v:shape style="position:absolute;left:4231;top:3;width:240;height:33" coordorigin="4232,3" coordsize="240,33" path="m4232,3l4253,23,4275,34,4296,35,4317,28,4358,3,4392,28,4409,36,4428,34,4449,23,4471,3e" filled="false" stroked="true" strokeweight=".339pt" strokecolor="#231f20">
              <v:path arrowok="t"/>
              <v:stroke dashstyle="solid"/>
            </v:shape>
            <v:shape style="position:absolute;left:3993;top:3;width:240;height:33" coordorigin="3993,3" coordsize="240,33" path="m3993,3l4015,23,4036,34,4058,35,4078,28,4120,3,4153,28,4171,36,4190,34,4210,23,4232,3e" filled="false" stroked="true" strokeweight=".339pt" strokecolor="#231f20">
              <v:path arrowok="t"/>
              <v:stroke dashstyle="solid"/>
            </v:shape>
            <v:shape style="position:absolute;left:3741;top:3;width:252;height:33" coordorigin="3741,3" coordsize="252,33" path="m3741,3l3763,23,3785,34,3806,35,3827,28,3868,3,3901,28,3920,36,3941,34,3965,23,3993,3e" filled="false" stroked="true" strokeweight=".339pt" strokecolor="#231f20">
              <v:path arrowok="t"/>
              <v:stroke dashstyle="solid"/>
            </v:shape>
            <v:shape style="position:absolute;left:3489;top:3;width:252;height:33" coordorigin="3489,3" coordsize="252,33" path="m3489,3l3511,23,3533,34,3554,35,3575,28,3616,3,3650,28,3668,36,3689,34,3714,23,3741,3e" filled="false" stroked="true" strokeweight=".339pt" strokecolor="#231f20">
              <v:path arrowok="t"/>
              <v:stroke dashstyle="solid"/>
            </v:shape>
            <v:shape style="position:absolute;left:3237;top:3;width:252;height:33" coordorigin="3238,3" coordsize="252,33" path="m3238,3l3259,23,3281,34,3302,35,3323,28,3364,3,3398,28,3416,36,3437,34,3462,23,3489,3e" filled="false" stroked="true" strokeweight=".339pt" strokecolor="#231f20">
              <v:path arrowok="t"/>
              <v:stroke dashstyle="solid"/>
            </v:shape>
            <v:shape style="position:absolute;left:2998;top:3;width:240;height:33" coordorigin="2999,3" coordsize="240,33" path="m2999,3l3021,23,3042,34,3063,35,3084,28,3125,3,3159,28,3176,36,3195,34,3216,23,3238,3e" filled="false" stroked="true" strokeweight=".339pt" strokecolor="#231f20">
              <v:path arrowok="t"/>
              <v:stroke dashstyle="solid"/>
            </v:shape>
            <v:shape style="position:absolute;left:2746;top:3;width:252;height:33" coordorigin="2747,3" coordsize="252,33" path="m2747,3l2769,23,2790,34,2811,35,2832,28,2874,3,2907,28,2925,36,2947,34,2971,23,2998,3e" filled="false" stroked="true" strokeweight=".339pt" strokecolor="#231f20">
              <v:path arrowok="t"/>
              <v:stroke dashstyle="solid"/>
            </v:shape>
            <v:shape style="position:absolute;left:2495;top:3;width:252;height:33" coordorigin="2495,3" coordsize="252,33" path="m2495,3l2517,23,2538,34,2559,35,2580,28,2622,3,2655,28,2673,36,2695,34,2719,23,2746,3e" filled="false" stroked="true" strokeweight=".339pt" strokecolor="#231f20">
              <v:path arrowok="t"/>
              <v:stroke dashstyle="solid"/>
            </v:shape>
            <v:shape style="position:absolute;left:2243;top:3;width:252;height:33" coordorigin="2243,3" coordsize="252,33" path="m2243,3l2265,23,2286,34,2308,35,2328,28,2370,3,2403,28,2422,36,2443,34,2467,23,2495,3e" filled="false" stroked="true" strokeweight=".339pt" strokecolor="#231f20">
              <v:path arrowok="t"/>
              <v:stroke dashstyle="solid"/>
            </v:shape>
            <v:shape style="position:absolute;left:1991;top:3;width:252;height:33" coordorigin="1991,3" coordsize="252,33" path="m1991,3l2013,23,2034,34,2056,35,2077,28,2118,3,2151,28,2170,36,2191,34,2215,23,2243,3e" filled="false" stroked="true" strokeweight=".339pt" strokecolor="#231f20">
              <v:path arrowok="t"/>
              <v:stroke dashstyle="solid"/>
            </v:shape>
            <v:shape style="position:absolute;left:1739;top:3;width:252;height:33" coordorigin="1739,3" coordsize="252,33" path="m1739,3l1761,23,1783,34,1804,35,1825,28,1866,3,1900,28,1918,36,1939,34,1963,23,1991,3e" filled="false" stroked="true" strokeweight=".339pt" strokecolor="#231f20">
              <v:path arrowok="t"/>
              <v:stroke dashstyle="solid"/>
            </v:shape>
            <v:shape style="position:absolute;left:1487;top:3;width:252;height:33" coordorigin="1488,3" coordsize="252,33" path="m1488,3l1509,23,1531,34,1552,35,1573,28,1614,3,1648,28,1666,36,1687,34,1712,23,1739,3e" filled="false" stroked="true" strokeweight=".339pt" strokecolor="#231f20">
              <v:path arrowok="t"/>
              <v:stroke dashstyle="solid"/>
            </v:shape>
            <v:shape style="position:absolute;left:1235;top:3;width:252;height:33" coordorigin="1236,3" coordsize="252,33" path="m1236,3l1257,23,1279,34,1300,35,1321,28,1362,3,1396,28,1414,36,1435,34,1460,23,1487,3e" filled="false" stroked="true" strokeweight=".339pt" strokecolor="#231f20">
              <v:path arrowok="t"/>
              <v:stroke dashstyle="solid"/>
            </v:shape>
            <v:shape style="position:absolute;left:983;top:3;width:252;height:33" coordorigin="984,3" coordsize="252,33" path="m984,3l1006,23,1027,34,1048,35,1069,28,1110,3,1144,28,1162,36,1184,34,1208,23,1235,3e" filled="false" stroked="true" strokeweight=".339pt" strokecolor="#231f20">
              <v:path arrowok="t"/>
              <v:stroke dashstyle="solid"/>
            </v:shape>
            <v:shape style="position:absolute;left:731;top:3;width:252;height:33" coordorigin="732,3" coordsize="252,33" path="m732,3l754,23,775,34,796,35,817,28,859,3,892,28,910,36,932,34,956,23,983,3e" filled="false" stroked="true" strokeweight=".339pt" strokecolor="#231f20">
              <v:path arrowok="t"/>
              <v:stroke dashstyle="solid"/>
            </v:shape>
            <v:shape style="position:absolute;left:480;top:3;width:252;height:33" coordorigin="480,3" coordsize="252,33" path="m480,3l502,23,523,34,544,35,565,28,607,3,640,28,659,36,680,34,704,23,732,3e" filled="false" stroked="true" strokeweight=".339pt" strokecolor="#231f20">
              <v:path arrowok="t"/>
              <v:stroke dashstyle="solid"/>
            </v:shape>
            <v:shape style="position:absolute;left:228;top:3;width:252;height:33" coordorigin="228,3" coordsize="252,33" path="m228,3l250,23,271,34,293,35,313,28,355,3,388,28,407,36,428,34,452,23,480,3e" filled="false" stroked="true" strokeweight=".339pt" strokecolor="#231f20">
              <v:path arrowok="t"/>
              <v:stroke dashstyle="solid"/>
            </v:shape>
            <v:shape style="position:absolute;left:3;top:3;width:225;height:33" coordorigin="3,3" coordsize="225,33" path="m3,25l16,32,30,35,46,32,64,24,103,3,137,28,155,36,176,34,200,23,228,3e" filled="false" stroked="true" strokeweight=".339pt" strokecolor="#231f20">
              <v:path arrowok="t"/>
              <v:stroke dashstyle="solid"/>
            </v:shape>
          </v:group>
        </w:pict>
      </w:r>
      <w:r>
        <w:rPr>
          <w:rFonts w:ascii="Arial"/>
          <w:position w:val="0"/>
          <w:sz w:val="4"/>
        </w:rPr>
      </w:r>
    </w:p>
    <w:p>
      <w:pPr>
        <w:spacing w:before="90"/>
        <w:ind w:left="374" w:right="0" w:firstLine="0"/>
        <w:jc w:val="center"/>
        <w:rPr>
          <w:rFonts w:ascii="Arial"/>
          <w:sz w:val="14"/>
        </w:rPr>
      </w:pPr>
      <w:r>
        <w:rPr/>
        <w:pict>
          <v:group style="position:absolute;margin-left:54.419498pt;margin-top:7.867739pt;width:223.25pt;height:76.150pt;mso-position-horizontal-relative:page;mso-position-vertical-relative:paragraph;z-index:-176872" coordorigin="1088,157" coordsize="4465,1523">
            <v:shape style="position:absolute;left:1388;top:372;width:3834;height:1304" type="#_x0000_t75" stroked="false">
              <v:imagedata r:id="rId175" o:title=""/>
            </v:shape>
            <v:shape style="position:absolute;left:1088;top:157;width:4465;height:1523" type="#_x0000_t75" stroked="false">
              <v:imagedata r:id="rId176" o:title=""/>
            </v:shape>
            <w10:wrap type="none"/>
          </v:group>
        </w:pict>
      </w:r>
      <w:r>
        <w:rPr>
          <w:rFonts w:ascii="Arial"/>
          <w:color w:val="231F20"/>
          <w:w w:val="105"/>
          <w:sz w:val="14"/>
        </w:rPr>
        <w:t>Si, Fe, S</w:t>
      </w:r>
    </w:p>
    <w:p>
      <w:pPr>
        <w:pStyle w:val="BodyText"/>
        <w:spacing w:line="230" w:lineRule="auto" w:before="199"/>
        <w:ind w:left="716" w:right="1081"/>
        <w:jc w:val="both"/>
      </w:pPr>
      <w:r>
        <w:rPr/>
        <w:br w:type="column"/>
      </w:r>
      <w:r>
        <w:rPr>
          <w:color w:val="231F20"/>
        </w:rPr>
        <w:t>Watkinson,</w:t>
      </w:r>
      <w:r>
        <w:rPr>
          <w:color w:val="231F20"/>
          <w:spacing w:val="-8"/>
        </w:rPr>
        <w:t> </w:t>
      </w:r>
      <w:r>
        <w:rPr>
          <w:color w:val="231F20"/>
        </w:rPr>
        <w:t>1990;</w:t>
      </w:r>
      <w:r>
        <w:rPr>
          <w:color w:val="231F20"/>
          <w:spacing w:val="-8"/>
        </w:rPr>
        <w:t> </w:t>
      </w:r>
      <w:r>
        <w:rPr>
          <w:color w:val="231F20"/>
        </w:rPr>
        <w:t>Brauhart</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1998;</w:t>
      </w:r>
      <w:r>
        <w:rPr>
          <w:color w:val="231F20"/>
          <w:spacing w:val="-8"/>
        </w:rPr>
        <w:t> </w:t>
      </w:r>
      <w:r>
        <w:rPr>
          <w:color w:val="231F20"/>
          <w:spacing w:val="-3"/>
        </w:rPr>
        <w:t>Galley,</w:t>
      </w:r>
      <w:r>
        <w:rPr>
          <w:color w:val="231F20"/>
          <w:spacing w:val="-8"/>
        </w:rPr>
        <w:t> </w:t>
      </w:r>
      <w:r>
        <w:rPr>
          <w:color w:val="231F20"/>
        </w:rPr>
        <w:t>2003).</w:t>
      </w:r>
      <w:r>
        <w:rPr>
          <w:color w:val="231F20"/>
          <w:spacing w:val="-8"/>
        </w:rPr>
        <w:t> </w:t>
      </w:r>
      <w:r>
        <w:rPr>
          <w:color w:val="231F20"/>
        </w:rPr>
        <w:t>Faults that acted as conduits for volcanic feeder systems were the focal point for ascent of high-temperature, acidic metal- laden hydrothermal fluids that formed VMS deposits. These fault systems may have remained active through several cycles of volcanic and hydrothermal activity. This may have resulted in several periods of VMS formation at different stratigraphic levels within the rift or caldera</w:t>
      </w:r>
      <w:r>
        <w:rPr>
          <w:color w:val="231F20"/>
          <w:spacing w:val="18"/>
        </w:rPr>
        <w:t> </w:t>
      </w:r>
      <w:r>
        <w:rPr>
          <w:color w:val="231F20"/>
        </w:rPr>
        <w:t>structure.</w:t>
      </w:r>
    </w:p>
    <w:p>
      <w:pPr>
        <w:pStyle w:val="BodyText"/>
        <w:spacing w:line="220" w:lineRule="exact" w:before="33"/>
        <w:ind w:left="716" w:right="1082" w:firstLine="216"/>
        <w:jc w:val="both"/>
      </w:pPr>
      <w:r>
        <w:rPr>
          <w:color w:val="231F20"/>
        </w:rPr>
        <w:t>Mafic-dominated, bimodal mafic, and bimodal felsic host rocks are dominated by effusive volcanic successions and accompanying, large-scale hypabyssal intrusions (Fig. 17). This high-temperature subseafloor environment supported high-temperature (&gt;350°C) hydrothermal systems, from</w:t>
      </w:r>
    </w:p>
    <w:p>
      <w:pPr>
        <w:spacing w:after="0" w:line="220" w:lineRule="exact"/>
        <w:jc w:val="both"/>
        <w:sectPr>
          <w:headerReference w:type="default" r:id="rId169"/>
          <w:headerReference w:type="even" r:id="rId170"/>
          <w:pgSz w:w="12240" w:h="15840"/>
          <w:pgMar w:header="673" w:footer="779" w:top="1000" w:bottom="960" w:left="0" w:right="0"/>
          <w:cols w:num="2" w:equalWidth="0">
            <w:col w:w="5560" w:space="40"/>
            <w:col w:w="6640"/>
          </w:cols>
        </w:sectPr>
      </w:pPr>
    </w:p>
    <w:p>
      <w:pPr>
        <w:spacing w:line="115" w:lineRule="exact" w:before="0"/>
        <w:ind w:left="1381" w:right="0" w:firstLine="0"/>
        <w:jc w:val="left"/>
        <w:rPr>
          <w:rFonts w:ascii="Arial"/>
          <w:sz w:val="11"/>
        </w:rPr>
      </w:pPr>
      <w:r>
        <w:rPr/>
        <w:pict>
          <v:shape style="position:absolute;margin-left:56.678783pt;margin-top:4.078756pt;width:10.25pt;height:27.55pt;mso-position-horizontal-relative:page;mso-position-vertical-relative:paragraph;z-index:6760" type="#_x0000_t202" filled="false" stroked="false">
            <v:textbox inset="0,0,0,0" style="layout-flow:vertical;mso-layout-flow-alt:bottom-to-top">
              <w:txbxContent>
                <w:p>
                  <w:pPr>
                    <w:spacing w:before="21"/>
                    <w:ind w:left="20" w:right="0" w:firstLine="0"/>
                    <w:jc w:val="left"/>
                    <w:rPr>
                      <w:rFonts w:ascii="Arial"/>
                      <w:sz w:val="14"/>
                    </w:rPr>
                  </w:pPr>
                  <w:r>
                    <w:rPr>
                      <w:rFonts w:ascii="Arial"/>
                      <w:color w:val="231F20"/>
                      <w:w w:val="105"/>
                      <w:sz w:val="14"/>
                    </w:rPr>
                    <w:t>2000 m</w:t>
                  </w:r>
                </w:p>
              </w:txbxContent>
            </v:textbox>
            <w10:wrap type="none"/>
          </v:shape>
        </w:pict>
      </w:r>
      <w:r>
        <w:rPr>
          <w:rFonts w:ascii="Arial"/>
          <w:color w:val="231F20"/>
          <w:w w:val="105"/>
          <w:sz w:val="14"/>
        </w:rPr>
        <w:t>+ K,Mg,SO</w:t>
      </w:r>
      <w:r>
        <w:rPr>
          <w:rFonts w:ascii="Arial"/>
          <w:color w:val="231F20"/>
          <w:w w:val="105"/>
          <w:position w:val="-1"/>
          <w:sz w:val="11"/>
        </w:rPr>
        <w:t>4</w:t>
      </w:r>
    </w:p>
    <w:p>
      <w:pPr>
        <w:spacing w:before="72"/>
        <w:ind w:left="1445" w:right="0" w:firstLine="0"/>
        <w:jc w:val="left"/>
        <w:rPr>
          <w:rFonts w:ascii="Arial"/>
          <w:sz w:val="14"/>
        </w:rPr>
      </w:pPr>
      <w:r>
        <w:rPr>
          <w:rFonts w:ascii="Arial"/>
          <w:color w:val="231F20"/>
          <w:w w:val="105"/>
          <w:sz w:val="14"/>
        </w:rPr>
        <w:t>+ Na, Mg</w:t>
      </w:r>
    </w:p>
    <w:p>
      <w:pPr>
        <w:spacing w:before="76"/>
        <w:ind w:left="1469" w:right="0" w:firstLine="0"/>
        <w:jc w:val="left"/>
        <w:rPr>
          <w:rFonts w:ascii="Arial"/>
          <w:sz w:val="14"/>
        </w:rPr>
      </w:pPr>
      <w:r>
        <w:rPr>
          <w:rFonts w:ascii="Arial"/>
          <w:color w:val="231F20"/>
          <w:w w:val="105"/>
          <w:sz w:val="14"/>
        </w:rPr>
        <w:t>+ Si, Ca</w:t>
      </w:r>
    </w:p>
    <w:p>
      <w:pPr>
        <w:spacing w:before="101"/>
        <w:ind w:left="1432" w:right="0" w:firstLine="0"/>
        <w:jc w:val="left"/>
        <w:rPr>
          <w:rFonts w:ascii="Arial"/>
          <w:sz w:val="14"/>
        </w:rPr>
      </w:pPr>
      <w:r>
        <w:rPr>
          <w:rFonts w:ascii="Arial"/>
          <w:color w:val="231F20"/>
          <w:w w:val="105"/>
          <w:sz w:val="14"/>
        </w:rPr>
        <w:t>+ Ca, Si, Fe,Cu</w:t>
      </w:r>
    </w:p>
    <w:p>
      <w:pPr>
        <w:pStyle w:val="BodyText"/>
        <w:rPr>
          <w:rFonts w:ascii="Arial"/>
          <w:sz w:val="16"/>
        </w:rPr>
      </w:pPr>
    </w:p>
    <w:p>
      <w:pPr>
        <w:pStyle w:val="BodyText"/>
        <w:spacing w:before="3"/>
        <w:rPr>
          <w:rFonts w:ascii="Arial"/>
          <w:sz w:val="18"/>
        </w:rPr>
      </w:pPr>
    </w:p>
    <w:p>
      <w:pPr>
        <w:spacing w:before="0"/>
        <w:ind w:left="0" w:right="142" w:firstLine="0"/>
        <w:jc w:val="center"/>
        <w:rPr>
          <w:rFonts w:ascii="Arial"/>
          <w:sz w:val="17"/>
        </w:rPr>
      </w:pPr>
      <w:r>
        <w:rPr/>
        <w:pict>
          <v:shape style="position:absolute;margin-left:-76.307999pt;margin-top:574.325317pt;width:223.4pt;height:1.65pt;mso-position-horizontal-relative:page;mso-position-vertical-relative:paragraph;z-index:6520" coordorigin="-1526,11487" coordsize="4468,33" path="m5320,229l5342,249,5363,259,5384,261,5405,253,5447,229,5480,254,5498,261,5517,260,5537,249,5559,229m5082,229l5103,249,5125,259,5146,261,5167,253,5208,229,5242,254,5259,261,5278,260,5299,249,5321,229m4830,229l4851,249,4873,259,4894,261,4915,253,4956,229,4990,254,5008,261,5029,260,5054,249,5081,229m4578,229l4600,249,4621,259,4642,261,4663,253,4704,229,4738,254,4756,261,4778,260,4802,249,4829,229m4326,229l4348,249,4369,259,4390,261,4411,253,4453,229,4486,254,4504,261,4526,260,4550,249,4577,229m4087,229l4109,249,4130,259,4152,261,4172,253,4214,229,4247,254,4265,261,4284,260,4304,249,4326,229m3835,229l3857,249,3878,259,3900,261,3920,253,3962,229,3995,254,4014,261,4035,260,4059,249,4087,229m3583,229l3605,249,3627,259,3648,261,3669,253,3710,229,3744,254,3762,261,3783,260,3808,249,3835,229m3332,229l3353,249,3375,259,3396,261,3417,253,3458,229,3492,254,3510,261,3531,260,3556,249,3583,229m3080,229l3101,249,3123,259,3144,261,3165,253,3206,229,3240,254,3258,261,3279,260,3304,249,3331,229m2828,229l2850,249,2871,259,2892,261,2913,253,2954,229,2988,254,3006,261,3028,260,3052,249,3079,229m2576,229l2598,249,2619,259,2640,261,2661,253,2703,229,2736,254,2754,261,2776,260,2800,249,2827,229m2324,229l2346,249,2367,259,2388,261,2409,253,2451,229,2484,254,2503,261,2524,260,2548,249,2576,229m2072,229l2094,249,2115,259,2137,261,2157,253,2199,229,2232,254,2251,261,2272,260,2296,249,2324,229m1820,229l1842,249,1864,259,1885,261,1906,253,1947,229,1981,254,1999,261,2020,260,2044,249,2072,229m1569,229l1590,249,1612,259,1633,261,1654,253,1695,229,1729,254,1747,261,1768,260,1793,249,1820,229m1317,229l1338,249,1360,259,1381,261,1402,253,1443,229,1477,254,1495,261,1516,260,1541,249,1568,229m1092,250l1104,258,1118,260,1134,257,1153,250,1191,229,1225,254,1243,261,1265,260,1289,249,1316,229e" filled="false" stroked="true" strokeweight=".339pt" strokecolor="#231f20">
            <v:path arrowok="t"/>
            <v:stroke dashstyle="solid"/>
            <w10:wrap type="none"/>
          </v:shape>
        </w:pict>
      </w:r>
      <w:r>
        <w:rPr>
          <w:rFonts w:ascii="Arial"/>
          <w:color w:val="231F20"/>
          <w:w w:val="103"/>
          <w:sz w:val="17"/>
        </w:rPr>
        <w:t>C</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8"/>
        <w:rPr>
          <w:rFonts w:ascii="Arial"/>
        </w:rPr>
      </w:pPr>
    </w:p>
    <w:p>
      <w:pPr>
        <w:spacing w:line="160" w:lineRule="exact" w:before="1"/>
        <w:ind w:left="199" w:right="0" w:firstLine="0"/>
        <w:jc w:val="center"/>
        <w:rPr>
          <w:rFonts w:ascii="Arial"/>
          <w:sz w:val="14"/>
        </w:rPr>
      </w:pPr>
      <w:r>
        <w:rPr>
          <w:rFonts w:ascii="Arial"/>
          <w:color w:val="231F20"/>
          <w:w w:val="105"/>
          <w:sz w:val="14"/>
        </w:rPr>
        <w:t>Shallow Intrusion</w:t>
      </w:r>
    </w:p>
    <w:p>
      <w:pPr>
        <w:spacing w:line="160" w:lineRule="exact" w:before="0"/>
        <w:ind w:left="214" w:right="0" w:firstLine="0"/>
        <w:jc w:val="center"/>
        <w:rPr>
          <w:rFonts w:ascii="Arial"/>
          <w:b/>
          <w:sz w:val="14"/>
        </w:rPr>
      </w:pPr>
      <w:r>
        <w:rPr>
          <w:rFonts w:ascii="Arial"/>
          <w:b/>
          <w:color w:val="231F20"/>
          <w:w w:val="105"/>
          <w:sz w:val="14"/>
        </w:rPr>
        <w:t>DEEP</w:t>
      </w:r>
      <w:r>
        <w:rPr>
          <w:rFonts w:ascii="Arial"/>
          <w:b/>
          <w:color w:val="231F20"/>
          <w:spacing w:val="-16"/>
          <w:w w:val="105"/>
          <w:sz w:val="14"/>
        </w:rPr>
        <w:t> </w:t>
      </w:r>
      <w:r>
        <w:rPr>
          <w:rFonts w:ascii="Arial"/>
          <w:b/>
          <w:color w:val="231F20"/>
          <w:w w:val="105"/>
          <w:sz w:val="14"/>
        </w:rPr>
        <w:t>CONVECTION</w:t>
      </w:r>
    </w:p>
    <w:p>
      <w:pPr>
        <w:pStyle w:val="BodyText"/>
        <w:spacing w:before="9"/>
        <w:rPr>
          <w:rFonts w:ascii="Arial"/>
          <w:b/>
          <w:sz w:val="16"/>
        </w:rPr>
      </w:pPr>
      <w:r>
        <w:rPr/>
        <w:br w:type="column"/>
      </w:r>
      <w:r>
        <w:rPr>
          <w:rFonts w:ascii="Arial"/>
          <w:b/>
          <w:sz w:val="16"/>
        </w:rPr>
      </w:r>
    </w:p>
    <w:p>
      <w:pPr>
        <w:spacing w:line="256" w:lineRule="auto" w:before="0"/>
        <w:ind w:left="150" w:right="-20" w:hanging="82"/>
        <w:jc w:val="left"/>
        <w:rPr>
          <w:rFonts w:ascii="Arial"/>
          <w:sz w:val="14"/>
        </w:rPr>
      </w:pPr>
      <w:r>
        <w:rPr>
          <w:rFonts w:ascii="Arial"/>
          <w:color w:val="231F20"/>
          <w:w w:val="105"/>
          <w:sz w:val="14"/>
        </w:rPr>
        <w:t>- Si,Na,Ca,</w:t>
      </w:r>
      <w:r>
        <w:rPr>
          <w:rFonts w:ascii="Arial"/>
          <w:color w:val="231F20"/>
          <w:w w:val="104"/>
          <w:sz w:val="14"/>
        </w:rPr>
        <w:t> </w:t>
      </w:r>
      <w:r>
        <w:rPr>
          <w:rFonts w:ascii="Arial"/>
          <w:color w:val="231F20"/>
          <w:w w:val="105"/>
          <w:sz w:val="14"/>
        </w:rPr>
        <w:t>Fe,Zn,Cu</w:t>
      </w:r>
    </w:p>
    <w:p>
      <w:pPr>
        <w:spacing w:before="46"/>
        <w:ind w:left="215" w:right="0" w:firstLine="0"/>
        <w:jc w:val="left"/>
        <w:rPr>
          <w:rFonts w:ascii="Arial" w:hAnsi="Arial"/>
          <w:sz w:val="14"/>
        </w:rPr>
      </w:pPr>
      <w:r>
        <w:rPr/>
        <w:br w:type="column"/>
      </w:r>
      <w:r>
        <w:rPr>
          <w:rFonts w:ascii="Arial" w:hAnsi="Arial"/>
          <w:color w:val="231F20"/>
          <w:w w:val="105"/>
          <w:sz w:val="14"/>
        </w:rPr>
        <w:t>200°C</w:t>
      </w:r>
    </w:p>
    <w:p>
      <w:pPr>
        <w:spacing w:before="90"/>
        <w:ind w:left="215" w:right="0" w:firstLine="0"/>
        <w:jc w:val="left"/>
        <w:rPr>
          <w:rFonts w:ascii="Arial" w:hAnsi="Arial"/>
          <w:sz w:val="14"/>
        </w:rPr>
      </w:pPr>
      <w:r>
        <w:rPr>
          <w:rFonts w:ascii="Arial" w:hAnsi="Arial"/>
          <w:color w:val="231F20"/>
          <w:w w:val="105"/>
          <w:sz w:val="14"/>
        </w:rPr>
        <w:t>300°C</w:t>
      </w:r>
    </w:p>
    <w:p>
      <w:pPr>
        <w:spacing w:before="91"/>
        <w:ind w:left="215" w:right="0" w:firstLine="0"/>
        <w:jc w:val="left"/>
        <w:rPr>
          <w:rFonts w:ascii="Arial" w:hAnsi="Arial"/>
          <w:sz w:val="14"/>
        </w:rPr>
      </w:pPr>
      <w:r>
        <w:rPr>
          <w:rFonts w:ascii="Arial" w:hAnsi="Arial"/>
          <w:color w:val="231F20"/>
          <w:w w:val="105"/>
          <w:sz w:val="14"/>
        </w:rPr>
        <w:t>400°C</w:t>
      </w:r>
    </w:p>
    <w:p>
      <w:pPr>
        <w:pStyle w:val="BodyText"/>
        <w:spacing w:line="230" w:lineRule="auto"/>
        <w:ind w:left="659" w:right="1080"/>
        <w:jc w:val="both"/>
      </w:pPr>
      <w:r>
        <w:rPr/>
        <w:br w:type="column"/>
      </w:r>
      <w:r>
        <w:rPr>
          <w:color w:val="231F20"/>
        </w:rPr>
        <w:t>which may have precipitated Cu, Cu-Zn, and Zn-Cu- (Pb) VMS deposits with variable Au and Ag contents. Areally extensive, 1 to 5 m thick, Fe-rich “exhalites” (iron forma- tions) may mark the most prospective VMS horizons (Spry et al., 2000; Peter, 2003) (Fig. 18A). These exhalite deposits consist of a combination of fine volcaniclastic material, chert, and carbonates. They formed during the immature</w:t>
      </w:r>
    </w:p>
    <w:p>
      <w:pPr>
        <w:spacing w:after="0" w:line="230" w:lineRule="auto"/>
        <w:jc w:val="both"/>
        <w:sectPr>
          <w:type w:val="continuous"/>
          <w:pgSz w:w="12240" w:h="15840"/>
          <w:pgMar w:top="920" w:bottom="280" w:left="0" w:right="0"/>
          <w:cols w:num="5" w:equalWidth="0">
            <w:col w:w="2453" w:space="40"/>
            <w:col w:w="1632" w:space="39"/>
            <w:col w:w="787" w:space="39"/>
            <w:col w:w="626" w:space="40"/>
            <w:col w:w="6584"/>
          </w:cols>
        </w:sectPr>
      </w:pPr>
    </w:p>
    <w:p>
      <w:pPr>
        <w:pStyle w:val="BodyText"/>
        <w:rPr>
          <w:sz w:val="16"/>
        </w:rPr>
      </w:pPr>
    </w:p>
    <w:p>
      <w:pPr>
        <w:pStyle w:val="BodyText"/>
        <w:spacing w:before="10"/>
        <w:rPr>
          <w:sz w:val="14"/>
        </w:rPr>
      </w:pPr>
    </w:p>
    <w:p>
      <w:pPr>
        <w:spacing w:before="0"/>
        <w:ind w:left="1400" w:right="0" w:firstLine="0"/>
        <w:jc w:val="left"/>
        <w:rPr>
          <w:rFonts w:ascii="Arial"/>
          <w:sz w:val="14"/>
        </w:rPr>
      </w:pPr>
      <w:r>
        <w:rPr>
          <w:rFonts w:ascii="Arial"/>
          <w:color w:val="231F20"/>
          <w:w w:val="105"/>
          <w:sz w:val="14"/>
        </w:rPr>
        <w:t>Zeolite</w:t>
      </w:r>
    </w:p>
    <w:p>
      <w:pPr>
        <w:pStyle w:val="BodyText"/>
        <w:spacing w:before="1"/>
        <w:rPr>
          <w:rFonts w:ascii="Arial"/>
          <w:sz w:val="18"/>
        </w:rPr>
      </w:pPr>
    </w:p>
    <w:p>
      <w:pPr>
        <w:spacing w:line="549" w:lineRule="auto" w:before="0"/>
        <w:ind w:left="1345" w:right="-20" w:firstLine="291"/>
        <w:jc w:val="left"/>
        <w:rPr>
          <w:rFonts w:ascii="Arial"/>
          <w:sz w:val="14"/>
        </w:rPr>
      </w:pPr>
      <w:r>
        <w:rPr/>
        <w:pict>
          <v:shape style="position:absolute;margin-left:56.681618pt;margin-top:.866649pt;width:10.25pt;height:27.55pt;mso-position-horizontal-relative:page;mso-position-vertical-relative:paragraph;z-index:6736" type="#_x0000_t202" filled="false" stroked="false">
            <v:textbox inset="0,0,0,0" style="layout-flow:vertical;mso-layout-flow-alt:bottom-to-top">
              <w:txbxContent>
                <w:p>
                  <w:pPr>
                    <w:spacing w:before="21"/>
                    <w:ind w:left="20" w:right="0" w:firstLine="0"/>
                    <w:jc w:val="left"/>
                    <w:rPr>
                      <w:rFonts w:ascii="Arial"/>
                      <w:sz w:val="14"/>
                    </w:rPr>
                  </w:pPr>
                  <w:r>
                    <w:rPr>
                      <w:rFonts w:ascii="Arial"/>
                      <w:color w:val="231F20"/>
                      <w:w w:val="105"/>
                      <w:sz w:val="14"/>
                    </w:rPr>
                    <w:t>2000 m</w:t>
                  </w:r>
                </w:p>
              </w:txbxContent>
            </v:textbox>
            <w10:wrap type="none"/>
          </v:shape>
        </w:pict>
      </w:r>
      <w:r>
        <w:rPr>
          <w:rFonts w:ascii="Arial"/>
          <w:color w:val="231F20"/>
          <w:w w:val="105"/>
          <w:sz w:val="14"/>
        </w:rPr>
        <w:t>Greenschist</w:t>
      </w:r>
      <w:r>
        <w:rPr>
          <w:rFonts w:ascii="Arial"/>
          <w:color w:val="231F20"/>
          <w:w w:val="104"/>
          <w:sz w:val="14"/>
        </w:rPr>
        <w:t> </w:t>
      </w:r>
      <w:r>
        <w:rPr>
          <w:rFonts w:ascii="Arial"/>
          <w:color w:val="231F20"/>
          <w:w w:val="105"/>
          <w:sz w:val="14"/>
        </w:rPr>
        <w:t>Amphibolite</w:t>
      </w:r>
    </w:p>
    <w:p>
      <w:pPr>
        <w:spacing w:line="208" w:lineRule="auto" w:before="110"/>
        <w:ind w:left="362" w:right="0" w:firstLine="0"/>
        <w:jc w:val="center"/>
        <w:rPr>
          <w:rFonts w:ascii="Arial"/>
          <w:sz w:val="14"/>
        </w:rPr>
      </w:pPr>
      <w:r>
        <w:rPr/>
        <w:br w:type="column"/>
      </w:r>
      <w:r>
        <w:rPr>
          <w:rFonts w:ascii="Arial"/>
          <w:color w:val="231F20"/>
          <w:w w:val="105"/>
          <w:sz w:val="14"/>
        </w:rPr>
        <w:t>Fe,Zn,</w:t>
      </w:r>
      <w:r>
        <w:rPr>
          <w:rFonts w:ascii="Arial"/>
          <w:color w:val="231F20"/>
          <w:w w:val="104"/>
          <w:sz w:val="14"/>
        </w:rPr>
        <w:t> </w:t>
      </w:r>
      <w:r>
        <w:rPr>
          <w:rFonts w:ascii="Arial"/>
          <w:color w:val="231F20"/>
          <w:w w:val="105"/>
          <w:sz w:val="14"/>
        </w:rPr>
        <w:t>Cu,Si</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19"/>
        </w:rPr>
      </w:pPr>
    </w:p>
    <w:p>
      <w:pPr>
        <w:spacing w:line="159" w:lineRule="exact" w:before="0"/>
        <w:ind w:left="183" w:right="0" w:firstLine="0"/>
        <w:jc w:val="center"/>
        <w:rPr>
          <w:rFonts w:ascii="Arial"/>
          <w:sz w:val="14"/>
        </w:rPr>
      </w:pPr>
      <w:r>
        <w:rPr>
          <w:rFonts w:ascii="Arial"/>
          <w:color w:val="231F20"/>
          <w:sz w:val="14"/>
        </w:rPr>
        <w:t>Epidosite</w:t>
      </w:r>
    </w:p>
    <w:p>
      <w:pPr>
        <w:spacing w:line="152" w:lineRule="exact" w:before="0"/>
        <w:ind w:left="203" w:right="0" w:firstLine="0"/>
        <w:jc w:val="left"/>
        <w:rPr>
          <w:rFonts w:ascii="Arial"/>
          <w:sz w:val="14"/>
        </w:rPr>
      </w:pPr>
      <w:r>
        <w:rPr/>
        <w:br w:type="column"/>
      </w:r>
      <w:r>
        <w:rPr>
          <w:rFonts w:ascii="Arial"/>
          <w:color w:val="231F20"/>
          <w:w w:val="105"/>
          <w:sz w:val="14"/>
        </w:rPr>
        <w:t>Mn,Si,Ni</w:t>
      </w:r>
    </w:p>
    <w:p>
      <w:pPr>
        <w:spacing w:line="270" w:lineRule="atLeast" w:before="133"/>
        <w:ind w:left="415" w:right="-20" w:hanging="2"/>
        <w:jc w:val="left"/>
        <w:rPr>
          <w:rFonts w:ascii="Arial"/>
          <w:sz w:val="14"/>
        </w:rPr>
      </w:pPr>
      <w:r>
        <w:rPr/>
        <w:pict>
          <v:group style="position:absolute;margin-left:54.419498pt;margin-top:-2.562884pt;width:223.4pt;height:83.55pt;mso-position-horizontal-relative:page;mso-position-vertical-relative:paragraph;z-index:-176920" coordorigin="1088,-51" coordsize="4468,1671">
            <v:shape style="position:absolute;left:2487;top:278;width:983;height:947" coordorigin="2487,278" coordsize="983,947" path="m2860,278l2570,279,2550,279,2534,280,2523,281,2507,284,2496,292,2490,302,2487,315,2489,330,2495,346,2502,367,2507,393,2510,419,2512,439,2513,457,2515,476,2518,500,2521,530,2523,562,2523,592,2522,620,2518,646,2515,673,2515,704,2515,740,2516,781,2517,801,2517,882,2517,916,2517,949,2517,980,2518,985,2519,1013,2521,1041,2524,1071,2528,1102,2535,1135,2545,1166,2559,1192,2577,1211,2598,1221,2619,1225,2636,1224,2647,1216,2652,1201,2656,1166,2658,1150,2663,1119,2665,1099,2668,1080,2670,1061,2671,1045,2674,1031,2677,1019,2678,1008,2679,1005,2939,1005,2941,995,2947,983,2949,980,3404,980,3406,953,3409,916,3412,882,3415,861,3418,844,3421,823,3423,801,3424,781,3424,761,3422,740,3420,718,3418,697,3417,675,3417,652,3417,632,3418,617,3420,604,3422,591,3424,576,3422,556,3421,535,3421,515,3422,495,3424,473,3425,452,3428,435,3431,421,3434,407,3439,393,3447,378,3455,361,3463,343,3469,326,3470,309,3466,295,3459,289,3451,287,3434,286,3408,286,3233,284,2957,279,2860,278xm3335,1169l3075,1169,3083,1173,3092,1178,3102,1179,3113,1180,3125,1184,3137,1189,3150,1192,3161,1195,3170,1198,3181,1202,3197,1203,3214,1204,3233,1205,3251,1205,3269,1204,3285,1200,3301,1196,3316,1189,3329,1178,3335,1169xm3404,980l2949,980,2952,981,2954,985,2955,993,2959,1013,2963,1034,2966,1057,2968,1080,2970,1102,2975,1121,2983,1138,2994,1154,3007,1167,3019,1176,3031,1180,3044,1178,3056,1174,3066,1170,3075,1169,3335,1169,3340,1161,3352,1138,3363,1113,3373,1086,3383,1061,3392,1037,3399,1013,3404,985,3404,980xm2939,1005l2679,1005,2679,1007,2680,1013,2680,1023,2682,1047,2687,1068,2692,1086,2696,1103,2701,1119,2712,1135,2725,1147,2737,1152,2749,1151,2762,1145,2775,1134,2787,1120,2800,1108,2814,1106,2873,1106,2886,1103,2901,1097,2912,1091,2921,1080,2928,1059,2933,1034,2937,1013,2939,1005xm2873,1106l2814,1106,2830,1108,2850,1108,2870,1107,2873,1106xe" filled="true" fillcolor="#56c5d0" stroked="false">
              <v:path arrowok="t"/>
              <v:fill type="solid"/>
            </v:shape>
            <v:shape style="position:absolute;left:2487;top:278;width:983;height:947" coordorigin="2487,278" coordsize="983,947" path="m3434,407l3439,393,3447,378,3455,361,3463,343,3469,326,3470,309,3466,295,3374,285,3333,285,3286,285,3233,284,3174,283,3113,281,3057,280,3005,280,2957,279,2860,278,2756,278,2705,279,2661,279,2624,279,2594,279,2570,279,2507,284,2487,315,2489,330,2495,346,2502,367,2507,393,2510,419,2512,439,2513,457,2515,476,2518,500,2521,530,2523,562,2523,592,2522,620,2518,646,2515,673,2515,704,2515,740,2516,780,2517,824,2517,868,2517,911,2517,949,2519,1013,2528,1102,2545,1166,2598,1221,2619,1225,2636,1224,2647,1216,2652,1201,2655,1178,2658,1150,2662,1121,2665,1099,2668,1080,2670,1062,2671,1045,2674,1031,2677,1019,2678,1008,2679,1005,2679,1007,2680,1013,2680,1023,2682,1047,2687,1068,2692,1086,2696,1103,2701,1119,2712,1135,2725,1147,2737,1152,2749,1151,2762,1145,2775,1134,2787,1120,2800,1108,2814,1106,2830,1108,2850,1108,2912,1091,2933,1034,2937,1013,2941,995,2947,983,2949,980,2952,981,2954,985,2955,993,2959,1013,2963,1034,2966,1057,2968,1080,2970,1102,3007,1167,3031,1180,3044,1178,3056,1174,3066,1170,3075,1169,3083,1173,3092,1178,3102,1179,3113,1180,3125,1184,3137,1189,3150,1192,3161,1195,3170,1198,3181,1202,3197,1203,3214,1204,3233,1205,3301,1196,3352,1138,3383,1061,3392,1037,3399,1013,3404,985,3406,953,3409,916,3412,882,3415,861,3418,844,3421,823,3423,801,3424,781,3424,761,3422,740,3420,718,3418,697,3417,675,3417,652,3417,632,3418,617,3420,604,3422,591,3424,576,3422,556,3421,535,3421,515,3422,495,3424,473,3425,452,3428,435,3431,421,3434,407xe" filled="false" stroked="true" strokeweight=".339pt" strokecolor="#231f20">
              <v:path arrowok="t"/>
              <v:stroke dashstyle="solid"/>
            </v:shape>
            <v:shape style="position:absolute;left:1091;top:-49;width:4464;height:1631" coordorigin="1092,-49" coordsize="4464,1631" path="m4580,166l3944,165,3650,166,4580,166m5556,-42l5317,-49,5222,167,3650,166,3625,161,3596,155,3573,153,3558,155,3500,189,3457,263,3455,256,3320,285,3100,281,3032,279,2835,278,2764,279,2691,279,2591,278,2509,300,2516,755,2508,788,2492,632,2509,560,2512,511,2508,474,2504,449,2494,421,2490,388,2479,370,2477,339,2474,297,2470,264,2457,230,2461,189,2452,175,2439,163,1927,163,1412,162,1325,-42,1092,-43,1094,10,1176,129,1272,405,1316,722,1312,761,1310,859,1298,1483,1578,1477,2479,1284,2464,1083,2477,1004,2628,1142,3328,1090,3380,1006,3403,1261,4610,1507,4878,1582,4840,859,4833,725,5094,539,5332,300,5455,167,5503,114,5556,40,5556,-42e" filled="true" fillcolor="#56c5d0" stroked="false">
              <v:path arrowok="t"/>
              <v:fill type="solid"/>
            </v:shape>
            <v:shape style="position:absolute;left:1302;top:754;width:3561;height:798" coordorigin="1302,755" coordsize="3561,798" path="m4859,1395l4222,1395,4602,1485,4863,1552,4859,1395xm3068,755l2442,755,1682,777,1302,799,1302,1477,1548,1410,3701,1410,4222,1395,4859,1395,4855,1276,4855,1068,4833,807,4356,799,3068,755xm3701,1410l1548,1410,1995,1433,2755,1462,3701,1410xe" filled="true" fillcolor="#adbc72" stroked="false">
              <v:path arrowok="t"/>
              <v:fill type="solid"/>
            </v:shape>
            <v:shape style="position:absolute;left:3564;top:188;width:1092;height:498" coordorigin="3565,189" coordsize="1092,498" path="m3565,634l3644,668,3726,683,3804,686,3871,685,3939,682,4018,678,4100,672,4175,665,4241,657,4322,636,4393,588,4441,535,4495,462,4547,385,4589,316,4624,252,4656,189e" filled="false" stroked="true" strokeweight=".339pt" strokecolor="#231f20">
              <v:path arrowok="t"/>
              <v:stroke dashstyle="solid"/>
            </v:shape>
            <v:shape style="position:absolute;left:1293;top:1264;width:3589;height:355" coordorigin="1294,1264" coordsize="3589,355" path="m4862,1552l1891,1552,2315,1582,2673,1597,3120,1597,3656,1619,4215,1597,4803,1582,4882,1579,4862,1552xm2176,1264l2161,1266,2023,1285,1944,1292,1712,1319,1570,1342,1449,1376,1387,1405,1334,1444,1294,1485,1310,1507,1377,1529,1593,1567,1891,1552,4862,1552,4853,1541,4812,1495,4774,1459,4747,1440,2966,1440,2916,1426,2384,1426,2309,1418,2240,1399,2188,1345,2174,1299,2176,1264xm3666,1271l3626,1300,3448,1353,3185,1379,3023,1436,2966,1440,4747,1440,4735,1432,4701,1416,4660,1395,4575,1370,4470,1351,4340,1334,4137,1312,4003,1300,3776,1285,3717,1280,3666,1271xm2751,1380l2678,1386,2621,1400,2503,1423,2384,1426,2916,1426,2751,1380xe" filled="true" fillcolor="#f9a870" stroked="false">
              <v:path arrowok="t"/>
              <v:fill type="solid"/>
            </v:shape>
            <v:shape style="position:absolute;left:2481;top:269;width:946;height:589" coordorigin="2481,270" coordsize="946,589" path="m3425,797l3228,797,3258,799,3301,811,3354,832,3414,858,3424,812,3425,797xm3426,774l2655,774,2711,784,2893,826,2969,827,3008,826,3042,821,3097,808,3173,798,3228,797,3425,797,3426,774xm2536,270l2489,284,2481,328,2501,424,2516,517,2516,611,2515,815,2559,799,2585,791,2636,775,2655,774,3426,774,3426,764,3418,704,3418,694,2888,694,2810,690,2755,678,2688,651,2640,623,2578,579,2565,554,2560,504,2563,364,2574,279,2536,270xm3420,593l3400,596,3274,624,3203,649,3146,664,3096,672,3019,684,2944,691,2888,694,3418,694,3417,637,3420,593xe" filled="true" fillcolor="#fff685" stroked="false">
              <v:path arrowok="t"/>
              <v:fill type="solid"/>
            </v:shape>
            <v:shape style="position:absolute;left:2457;top:152;width:1106;height:779" coordorigin="2458,152" coordsize="1106,779" path="m2569,279l2568,278,2568,258,2542,231,2509,223,2482,222,2458,231,2465,256,2473,288,2477,330,2478,371,2490,389,2494,415,2502,439,2510,487,2511,533,2510,568,2504,630,2493,685,2485,833,2478,921,2478,928,2498,927,2515,931,2515,927,2517,866,2516,757,2515,701,2514,664,2524,594,2519,529,2505,382,2492,339,2488,314,2492,294,2512,282,2546,278,2569,279m3446,849l3441,798,3433,758,3433,718,3435,675,3438,639,3429,622,3420,610,3415,650,3420,699,3422,744,3423,784,3420,831,3413,868,3407,921,3412,925,3439,929,3444,928,3445,889,3446,849m3563,152l3552,153,3526,159,3496,164,3453,174,3447,203,3392,248,3389,285,3456,287,3466,294,3470,312,3468,332,3451,369,3434,404,3428,440,3424,473,3420,533,3424,577,3419,604,3432,592,3435,515,3437,488,3446,459,3463,424,3468,398,3465,369,3467,360,3475,345,3487,324,3490,275,3501,255,3511,226,3519,200,3537,177,3563,152e" filled="true" fillcolor="#f9a870" stroked="false">
              <v:path arrowok="t"/>
              <v:fill type="solid"/>
            </v:shape>
            <v:shape style="position:absolute;left:4684;top:173;width:537;height:500" coordorigin="4684,174" coordsize="537,500" path="m5220,174l5180,251,5150,311,5121,368,5116,379,5106,398,5071,452,4988,556,4930,613,4867,646,4806,661,4729,670,4684,673e" filled="false" stroked="true" strokeweight=".339pt" strokecolor="#231f20">
              <v:path arrowok="t"/>
              <v:stroke dashstyle="solid"/>
            </v:shape>
            <v:shape style="position:absolute;left:1425;top:177;width:282;height:352" type="#_x0000_t75" stroked="false">
              <v:imagedata r:id="rId177" o:title=""/>
            </v:shape>
            <v:shape style="position:absolute;left:2165;top:927;width:1520;height:522" coordorigin="2166,927" coordsize="1520,522" path="m3193,1395l2727,1395,2777,1400,2825,1412,2906,1440,2940,1448,2978,1449,3022,1444,3071,1431,3124,1415,3177,1399,3193,1395xm2494,927l2470,934,2445,950,2418,976,2390,1006,2364,1032,2335,1056,2302,1081,2268,1103,2235,1122,2209,1138,2192,1155,2183,1173,2179,1192,2178,1213,2177,1233,2176,1253,2170,1272,2166,1293,2168,1317,2177,1341,2190,1362,2210,1381,2235,1401,2267,1418,2306,1429,2351,1435,2399,1436,2451,1435,2507,1429,2564,1420,2621,1408,2675,1399,2727,1395,3193,1395,3230,1387,3280,1379,3332,1374,3390,1369,3445,1364,3487,1356,3522,1348,3559,1341,3593,1333,3621,1321,3643,1305,3660,1286,3673,1263,3682,1237,3685,1210,3678,1183,3664,1159,3643,1140,3606,1114,3118,1114,3092,1112,3064,1103,3036,1083,3015,1056,2788,1056,2760,1053,2744,1043,2737,1037,2568,1037,2562,1036,2557,1032,2555,1023,2553,999,2548,971,2538,946,2518,932,2494,927xm3434,928l3402,928,3369,939,3333,959,3293,986,3256,1014,3230,1040,3208,1063,3185,1086,3162,1104,3140,1112,3118,1114,3606,1114,3600,1110,3584,1094,3572,1071,3562,1044,3552,1015,3534,987,3503,960,3467,939,3434,928xm2948,958l2928,965,2907,982,2887,1006,2866,1030,2844,1045,2819,1054,2788,1056,3015,1056,3012,1052,2997,1014,2991,994,2984,979,2976,968,2967,961,2948,958xm2667,984l2643,985,2619,999,2596,1017,2576,1032,2568,1037,2737,1037,2730,1029,2712,1010,2690,993,2667,984xe" filled="true" fillcolor="#a6ce39" stroked="false">
              <v:path arrowok="t"/>
              <v:fill type="solid"/>
            </v:shape>
            <v:shape style="position:absolute;left:2165;top:927;width:1520;height:522" coordorigin="2166,927" coordsize="1520,522" path="m2235,1122l2302,1081,2364,1032,2418,976,2445,950,2470,934,2494,927,2518,932,2538,946,2548,971,2553,999,2555,1023,2557,1032,2562,1036,2568,1037,2576,1032,2596,1017,2619,999,2643,985,2712,1010,2744,1043,2760,1053,2788,1056,2819,1054,2844,1045,2866,1030,2887,1006,2907,982,2928,965,2948,958,2967,961,2976,968,2984,979,2991,994,2997,1014,3012,1052,3036,1083,3064,1103,3092,1112,3118,1114,3140,1112,3162,1104,3185,1086,3208,1063,3230,1040,3256,1014,3293,986,3333,959,3369,939,3402,928,3434,928,3503,960,3552,1015,3572,1071,3584,1094,3600,1110,3620,1124,3643,1140,3664,1159,3678,1183,3685,1210,3682,1237,3643,1305,3559,1341,3522,1348,3487,1356,3445,1364,3390,1369,3332,1374,3280,1379,3230,1387,3177,1399,3124,1415,3071,1431,3022,1444,2978,1449,2940,1448,2906,1440,2870,1428,2825,1412,2777,1400,2727,1395,2675,1399,2621,1408,2564,1420,2507,1429,2451,1435,2399,1436,2351,1435,2267,1418,2210,1381,2168,1317,2166,1293,2170,1272,2176,1253,2177,1233,2183,1173,2209,1138,2235,1122xe" filled="false" stroked="true" strokeweight=".339pt" strokecolor="#231f20">
              <v:path arrowok="t"/>
              <v:stroke dashstyle="shortdot"/>
            </v:shape>
            <v:shape style="position:absolute;left:3452;top:152;width:114;height:23" coordorigin="3452,152" coordsize="114,23" path="m3452,175l3470,171,3480,169,3487,166,3495,164,3504,163,3512,162,3518,161,3524,159,3531,158,3538,157,3544,155,3549,154,3556,153,3566,152e" filled="false" stroked="true" strokeweight=".339pt" strokecolor="#231f20">
              <v:path arrowok="t"/>
              <v:stroke dashstyle="solid"/>
            </v:shape>
            <v:shape style="position:absolute;left:1303;top:562;width:3540;height:297" coordorigin="1303,562" coordsize="3540,297" path="m1980,730l1828,728,1758,730,1980,730m2509,562l2499,563,2489,570,2483,615,2468,659,2447,704,2431,718,2393,727,2373,730,2322,732,2308,731,2268,730,2185,731,1758,730,1667,726,1565,729,1504,731,1454,731,1357,725,1311,721,1303,839,1418,842,1465,839,1544,830,1738,832,1808,837,1925,836,2012,834,2172,832,2202,833,2242,832,2324,831,2358,830,2427,828,2486,823,2491,732,2494,695,2501,651,2506,598,2509,562m4843,721l4769,721,4323,720,4014,720,3751,721,3669,721,3539,722,3527,718,3495,687,3482,660,3475,633,3465,607,3439,589,3431,589,3419,602,3434,623,3439,648,3436,668,3434,709,3433,747,3439,774,3444,807,3443,827,3448,847,3453,853,3472,856,3508,859,3696,849,3764,847,3821,847,3996,851,4155,850,4219,847,4247,843,4457,837,4518,837,4565,837,4636,841,4696,841,4758,843,4804,841,4840,840,4840,837,4843,722,4843,721e" filled="true" fillcolor="#fff685" stroked="false">
              <v:path arrowok="t"/>
              <v:fill type="solid"/>
            </v:shape>
            <v:shape style="position:absolute;left:1088;top:-52;width:4465;height:1633" type="#_x0000_t75" stroked="false">
              <v:imagedata r:id="rId178" o:title=""/>
            </v:shape>
            <w10:wrap type="none"/>
          </v:group>
        </w:pict>
      </w:r>
      <w:r>
        <w:rPr>
          <w:rFonts w:ascii="Arial"/>
          <w:color w:val="231F20"/>
          <w:w w:val="105"/>
          <w:sz w:val="14"/>
        </w:rPr>
        <w:t>Mg metasomatism </w:t>
      </w:r>
      <w:r>
        <w:rPr>
          <w:rFonts w:ascii="Arial"/>
          <w:color w:val="231F20"/>
          <w:w w:val="105"/>
          <w:sz w:val="14"/>
          <w:shd w:fill="CCE7D3" w:color="auto" w:val="clear"/>
        </w:rPr>
        <w:t>Spilitization</w:t>
      </w:r>
    </w:p>
    <w:p>
      <w:pPr>
        <w:spacing w:before="37"/>
        <w:ind w:left="261" w:right="0" w:firstLine="0"/>
        <w:jc w:val="left"/>
        <w:rPr>
          <w:rFonts w:ascii="Arial"/>
          <w:sz w:val="14"/>
        </w:rPr>
      </w:pPr>
      <w:r>
        <w:rPr>
          <w:rFonts w:ascii="Arial"/>
          <w:color w:val="231F20"/>
          <w:w w:val="105"/>
          <w:sz w:val="14"/>
        </w:rPr>
        <w:t>Silicification</w:t>
      </w:r>
    </w:p>
    <w:p>
      <w:pPr>
        <w:pStyle w:val="BodyText"/>
        <w:rPr>
          <w:rFonts w:ascii="Arial"/>
          <w:sz w:val="16"/>
        </w:rPr>
      </w:pPr>
      <w:r>
        <w:rPr/>
        <w:br w:type="column"/>
      </w:r>
      <w:r>
        <w:rPr>
          <w:rFonts w:ascii="Arial"/>
          <w:sz w:val="16"/>
        </w:rPr>
      </w:r>
    </w:p>
    <w:p>
      <w:pPr>
        <w:pStyle w:val="BodyText"/>
        <w:spacing w:before="4"/>
        <w:rPr>
          <w:rFonts w:ascii="Arial"/>
          <w:sz w:val="15"/>
        </w:rPr>
      </w:pPr>
    </w:p>
    <w:p>
      <w:pPr>
        <w:spacing w:line="300" w:lineRule="atLeast" w:before="0"/>
        <w:ind w:left="-1" w:right="-20" w:hanging="9"/>
        <w:jc w:val="left"/>
        <w:rPr>
          <w:rFonts w:ascii="Arial"/>
          <w:sz w:val="14"/>
        </w:rPr>
      </w:pPr>
      <w:r>
        <w:rPr>
          <w:rFonts w:ascii="Arial"/>
          <w:color w:val="231F20"/>
          <w:w w:val="105"/>
          <w:sz w:val="14"/>
        </w:rPr>
        <w:t>Recharge zone Impermeable</w:t>
      </w:r>
    </w:p>
    <w:p>
      <w:pPr>
        <w:spacing w:line="126" w:lineRule="exact" w:before="0"/>
        <w:ind w:left="215" w:right="0" w:firstLine="0"/>
        <w:jc w:val="left"/>
        <w:rPr>
          <w:rFonts w:ascii="Arial"/>
          <w:sz w:val="14"/>
        </w:rPr>
      </w:pPr>
      <w:r>
        <w:rPr>
          <w:rFonts w:ascii="Arial"/>
          <w:color w:val="231F20"/>
          <w:w w:val="105"/>
          <w:sz w:val="14"/>
        </w:rPr>
        <w:t>barrier</w:t>
      </w:r>
    </w:p>
    <w:p>
      <w:pPr>
        <w:pStyle w:val="BodyText"/>
        <w:spacing w:before="5"/>
        <w:rPr>
          <w:rFonts w:ascii="Arial"/>
          <w:sz w:val="15"/>
        </w:rPr>
      </w:pPr>
    </w:p>
    <w:p>
      <w:pPr>
        <w:spacing w:line="160" w:lineRule="auto" w:before="0"/>
        <w:ind w:left="289" w:right="205" w:hanging="156"/>
        <w:jc w:val="left"/>
        <w:rPr>
          <w:rFonts w:ascii="Arial"/>
          <w:sz w:val="14"/>
        </w:rPr>
      </w:pPr>
      <w:r>
        <w:rPr>
          <w:rFonts w:ascii="Arial"/>
          <w:color w:val="231F20"/>
          <w:w w:val="105"/>
          <w:sz w:val="14"/>
        </w:rPr>
        <w:t>Reservoir zone</w:t>
      </w:r>
    </w:p>
    <w:p>
      <w:pPr>
        <w:pStyle w:val="BodyText"/>
        <w:spacing w:line="230" w:lineRule="auto"/>
        <w:ind w:left="346" w:right="1080"/>
        <w:jc w:val="both"/>
      </w:pPr>
      <w:r>
        <w:rPr/>
        <w:br w:type="column"/>
      </w:r>
      <w:r>
        <w:rPr>
          <w:color w:val="231F20"/>
        </w:rPr>
        <w:t>and/or</w:t>
      </w:r>
      <w:r>
        <w:rPr>
          <w:color w:val="231F20"/>
          <w:spacing w:val="-8"/>
        </w:rPr>
        <w:t> </w:t>
      </w:r>
      <w:r>
        <w:rPr>
          <w:color w:val="231F20"/>
        </w:rPr>
        <w:t>waning</w:t>
      </w:r>
      <w:r>
        <w:rPr>
          <w:color w:val="231F20"/>
          <w:spacing w:val="-8"/>
        </w:rPr>
        <w:t> </w:t>
      </w:r>
      <w:r>
        <w:rPr>
          <w:color w:val="231F20"/>
        </w:rPr>
        <w:t>stages</w:t>
      </w:r>
      <w:r>
        <w:rPr>
          <w:color w:val="231F20"/>
          <w:spacing w:val="-8"/>
        </w:rPr>
        <w:t> </w:t>
      </w:r>
      <w:r>
        <w:rPr>
          <w:color w:val="231F20"/>
        </w:rPr>
        <w:t>of</w:t>
      </w:r>
      <w:r>
        <w:rPr>
          <w:color w:val="231F20"/>
          <w:spacing w:val="-8"/>
        </w:rPr>
        <w:t> </w:t>
      </w:r>
      <w:r>
        <w:rPr>
          <w:color w:val="231F20"/>
        </w:rPr>
        <w:t>regional</w:t>
      </w:r>
      <w:r>
        <w:rPr>
          <w:color w:val="231F20"/>
          <w:spacing w:val="-8"/>
        </w:rPr>
        <w:t> </w:t>
      </w:r>
      <w:r>
        <w:rPr>
          <w:color w:val="231F20"/>
        </w:rPr>
        <w:t>hydrothermal</w:t>
      </w:r>
      <w:r>
        <w:rPr>
          <w:color w:val="231F20"/>
          <w:spacing w:val="-8"/>
        </w:rPr>
        <w:t> </w:t>
      </w:r>
      <w:r>
        <w:rPr>
          <w:color w:val="231F20"/>
        </w:rPr>
        <w:t>activity</w:t>
      </w:r>
      <w:r>
        <w:rPr>
          <w:color w:val="231F20"/>
          <w:spacing w:val="-8"/>
        </w:rPr>
        <w:t> </w:t>
      </w:r>
      <w:r>
        <w:rPr>
          <w:color w:val="231F20"/>
        </w:rPr>
        <w:t>when shallowly circulating seawater stripped Fe, Si, and some base metals at &lt;250°C and precipitated them on the seafloor through extensive, but diffuse, low-temperature hydrother- mal venting. Formation of exhalites on a basalt-dominated substrate was commonly accompanied by silicification and/or chloritization of the underlying 200 to 500 m of</w:t>
      </w:r>
      <w:r>
        <w:rPr>
          <w:color w:val="231F20"/>
          <w:spacing w:val="-36"/>
        </w:rPr>
        <w:t> </w:t>
      </w:r>
      <w:r>
        <w:rPr>
          <w:color w:val="231F20"/>
        </w:rPr>
        <w:t>strata</w:t>
      </w:r>
    </w:p>
    <w:p>
      <w:pPr>
        <w:spacing w:after="0" w:line="230" w:lineRule="auto"/>
        <w:jc w:val="both"/>
        <w:sectPr>
          <w:type w:val="continuous"/>
          <w:pgSz w:w="12240" w:h="15840"/>
          <w:pgMar w:top="920" w:bottom="280" w:left="0" w:right="0"/>
          <w:cols w:num="5" w:equalWidth="0">
            <w:col w:w="2421" w:space="40"/>
            <w:col w:w="788" w:space="39"/>
            <w:col w:w="1614" w:space="40"/>
            <w:col w:w="987" w:space="39"/>
            <w:col w:w="6272"/>
          </w:cols>
        </w:sectPr>
      </w:pPr>
    </w:p>
    <w:p>
      <w:pPr>
        <w:spacing w:before="33"/>
        <w:ind w:left="0" w:right="0" w:firstLine="0"/>
        <w:jc w:val="right"/>
        <w:rPr>
          <w:rFonts w:ascii="Arial"/>
          <w:sz w:val="14"/>
        </w:rPr>
      </w:pPr>
      <w:r>
        <w:rPr>
          <w:rFonts w:ascii="Arial"/>
          <w:color w:val="231F20"/>
          <w:w w:val="105"/>
          <w:sz w:val="14"/>
        </w:rPr>
        <w:t>Magmatic Component?</w:t>
      </w:r>
    </w:p>
    <w:p>
      <w:pPr>
        <w:spacing w:before="51"/>
        <w:ind w:left="1660" w:right="0" w:firstLine="0"/>
        <w:jc w:val="left"/>
        <w:rPr>
          <w:rFonts w:ascii="Arial"/>
          <w:b/>
          <w:sz w:val="14"/>
        </w:rPr>
      </w:pPr>
      <w:r>
        <w:rPr>
          <w:rFonts w:ascii="Arial"/>
          <w:b/>
          <w:color w:val="231F20"/>
          <w:w w:val="105"/>
          <w:sz w:val="14"/>
        </w:rPr>
        <w:t>FORMATION OF HYDROTHERMAL CELLS</w:t>
      </w:r>
    </w:p>
    <w:p>
      <w:pPr>
        <w:pStyle w:val="BodyText"/>
        <w:spacing w:line="203" w:lineRule="exact"/>
        <w:ind w:left="1559"/>
      </w:pPr>
      <w:r>
        <w:rPr/>
        <w:br w:type="column"/>
      </w:r>
      <w:r>
        <w:rPr>
          <w:color w:val="231F20"/>
        </w:rPr>
        <w:t>(Fig. 18B). Examples of this are observed in the Noranda,</w:t>
      </w:r>
    </w:p>
    <w:p>
      <w:pPr>
        <w:pStyle w:val="BodyText"/>
        <w:spacing w:line="230" w:lineRule="auto" w:before="2"/>
        <w:ind w:left="1559" w:right="1078"/>
        <w:jc w:val="both"/>
      </w:pPr>
      <w:r>
        <w:rPr/>
        <w:pict>
          <v:group style="position:absolute;margin-left:54pt;margin-top:13.18868pt;width:243pt;height:143.550pt;mso-position-horizontal-relative:page;mso-position-vertical-relative:paragraph;z-index:6568" coordorigin="1080,264" coordsize="4860,2871">
            <v:rect style="position:absolute;left:1080;top:296;width:4860;height:2837" filled="true" fillcolor="#ffffff" stroked="false">
              <v:fill type="solid"/>
            </v:rect>
            <v:shape style="position:absolute;left:1080;top:263;width:4860;height:2871" type="#_x0000_t202" filled="false" stroked="false">
              <v:textbox inset="0,0,0,0">
                <w:txbxContent>
                  <w:p>
                    <w:pPr>
                      <w:spacing w:line="230" w:lineRule="auto" w:before="20"/>
                      <w:ind w:left="20" w:right="16" w:hanging="1"/>
                      <w:jc w:val="both"/>
                      <w:rPr>
                        <w:sz w:val="16"/>
                      </w:rPr>
                    </w:pPr>
                    <w:r>
                      <w:rPr>
                        <w:b/>
                        <w:color w:val="231F20"/>
                        <w:sz w:val="16"/>
                      </w:rPr>
                      <w:t>F</w:t>
                    </w:r>
                    <w:r>
                      <w:rPr>
                        <w:b/>
                        <w:color w:val="231F20"/>
                        <w:sz w:val="16"/>
                        <w:vertAlign w:val="subscript"/>
                      </w:rPr>
                      <w:t>IGURE</w:t>
                    </w:r>
                    <w:r>
                      <w:rPr>
                        <w:b/>
                        <w:color w:val="231F20"/>
                        <w:sz w:val="16"/>
                        <w:vertAlign w:val="baseline"/>
                      </w:rPr>
                      <w:t> 14. </w:t>
                    </w:r>
                    <w:r>
                      <w:rPr>
                        <w:color w:val="231F20"/>
                        <w:sz w:val="16"/>
                        <w:vertAlign w:val="baseline"/>
                      </w:rPr>
                      <w:t>The development and maturation of a generic subseafloor hydrothermal system involves three stages. </w:t>
                    </w:r>
                    <w:r>
                      <w:rPr>
                        <w:b/>
                        <w:color w:val="231F20"/>
                        <w:sz w:val="16"/>
                        <w:vertAlign w:val="baseline"/>
                      </w:rPr>
                      <w:t>(A) </w:t>
                    </w:r>
                    <w:r>
                      <w:rPr>
                        <w:color w:val="231F20"/>
                        <w:sz w:val="16"/>
                        <w:vertAlign w:val="baseline"/>
                      </w:rPr>
                      <w:t>The relatively deep emplacement of a subvolcanic intrusion below a rift/caldera and the estab- lishment of a shallow circulating, low-temperature seawater convection system.</w:t>
                    </w:r>
                    <w:r>
                      <w:rPr>
                        <w:color w:val="231F20"/>
                        <w:spacing w:val="-8"/>
                        <w:sz w:val="16"/>
                        <w:vertAlign w:val="baseline"/>
                      </w:rPr>
                      <w:t> </w:t>
                    </w:r>
                    <w:r>
                      <w:rPr>
                        <w:color w:val="231F20"/>
                        <w:sz w:val="16"/>
                        <w:vertAlign w:val="baseline"/>
                      </w:rPr>
                      <w:t>This</w:t>
                    </w:r>
                    <w:r>
                      <w:rPr>
                        <w:color w:val="231F20"/>
                        <w:spacing w:val="-5"/>
                        <w:sz w:val="16"/>
                        <w:vertAlign w:val="baseline"/>
                      </w:rPr>
                      <w:t> </w:t>
                    </w:r>
                    <w:r>
                      <w:rPr>
                        <w:color w:val="231F20"/>
                        <w:sz w:val="16"/>
                        <w:vertAlign w:val="baseline"/>
                      </w:rPr>
                      <w:t>results</w:t>
                    </w:r>
                    <w:r>
                      <w:rPr>
                        <w:color w:val="231F20"/>
                        <w:spacing w:val="-5"/>
                        <w:sz w:val="16"/>
                        <w:vertAlign w:val="baseline"/>
                      </w:rPr>
                      <w:t> </w:t>
                    </w:r>
                    <w:r>
                      <w:rPr>
                        <w:color w:val="231F20"/>
                        <w:sz w:val="16"/>
                        <w:vertAlign w:val="baseline"/>
                      </w:rPr>
                      <w:t>in</w:t>
                    </w:r>
                    <w:r>
                      <w:rPr>
                        <w:color w:val="231F20"/>
                        <w:spacing w:val="-5"/>
                        <w:sz w:val="16"/>
                        <w:vertAlign w:val="baseline"/>
                      </w:rPr>
                      <w:t> </w:t>
                    </w:r>
                    <w:r>
                      <w:rPr>
                        <w:color w:val="231F20"/>
                        <w:sz w:val="16"/>
                        <w:vertAlign w:val="baseline"/>
                      </w:rPr>
                      <w:t>shallow</w:t>
                    </w:r>
                    <w:r>
                      <w:rPr>
                        <w:color w:val="231F20"/>
                        <w:spacing w:val="-5"/>
                        <w:sz w:val="16"/>
                        <w:vertAlign w:val="baseline"/>
                      </w:rPr>
                      <w:t> </w:t>
                    </w:r>
                    <w:r>
                      <w:rPr>
                        <w:color w:val="231F20"/>
                        <w:sz w:val="16"/>
                        <w:vertAlign w:val="baseline"/>
                      </w:rPr>
                      <w:t>subseafloor</w:t>
                    </w:r>
                    <w:r>
                      <w:rPr>
                        <w:color w:val="231F20"/>
                        <w:spacing w:val="-5"/>
                        <w:sz w:val="16"/>
                        <w:vertAlign w:val="baseline"/>
                      </w:rPr>
                      <w:t> </w:t>
                    </w:r>
                    <w:r>
                      <w:rPr>
                        <w:color w:val="231F20"/>
                        <w:sz w:val="16"/>
                        <w:vertAlign w:val="baseline"/>
                      </w:rPr>
                      <w:t>alteration</w:t>
                    </w:r>
                    <w:r>
                      <w:rPr>
                        <w:color w:val="231F20"/>
                        <w:spacing w:val="-5"/>
                        <w:sz w:val="16"/>
                        <w:vertAlign w:val="baseline"/>
                      </w:rPr>
                      <w:t> </w:t>
                    </w:r>
                    <w:r>
                      <w:rPr>
                        <w:color w:val="231F20"/>
                        <w:sz w:val="16"/>
                        <w:vertAlign w:val="baseline"/>
                      </w:rPr>
                      <w:t>and</w:t>
                    </w:r>
                    <w:r>
                      <w:rPr>
                        <w:color w:val="231F20"/>
                        <w:spacing w:val="-5"/>
                        <w:sz w:val="16"/>
                        <w:vertAlign w:val="baseline"/>
                      </w:rPr>
                      <w:t> </w:t>
                    </w:r>
                    <w:r>
                      <w:rPr>
                        <w:color w:val="231F20"/>
                        <w:sz w:val="16"/>
                        <w:vertAlign w:val="baseline"/>
                      </w:rPr>
                      <w:t>associated</w:t>
                    </w:r>
                    <w:r>
                      <w:rPr>
                        <w:color w:val="231F20"/>
                        <w:spacing w:val="-5"/>
                        <w:sz w:val="16"/>
                        <w:vertAlign w:val="baseline"/>
                      </w:rPr>
                      <w:t> </w:t>
                    </w:r>
                    <w:r>
                      <w:rPr>
                        <w:color w:val="231F20"/>
                        <w:sz w:val="16"/>
                        <w:vertAlign w:val="baseline"/>
                      </w:rPr>
                      <w:t>forma- tion of hydrothermal exhalative sediments. </w:t>
                    </w:r>
                    <w:r>
                      <w:rPr>
                        <w:b/>
                        <w:color w:val="231F20"/>
                        <w:sz w:val="16"/>
                        <w:vertAlign w:val="baseline"/>
                      </w:rPr>
                      <w:t>(B) </w:t>
                    </w:r>
                    <w:r>
                      <w:rPr>
                        <w:color w:val="231F20"/>
                        <w:sz w:val="16"/>
                        <w:vertAlign w:val="baseline"/>
                      </w:rPr>
                      <w:t>Higher level intrusion of subvolcanic magmas and resultant generation of a deep-seated subseafloor seawater convection system in which net gains and losses of elements are dictated by subhorizontal isotherms. </w:t>
                    </w:r>
                    <w:r>
                      <w:rPr>
                        <w:b/>
                        <w:color w:val="231F20"/>
                        <w:sz w:val="16"/>
                        <w:vertAlign w:val="baseline"/>
                      </w:rPr>
                      <w:t>(C) </w:t>
                    </w:r>
                    <w:r>
                      <w:rPr>
                        <w:color w:val="231F20"/>
                        <w:sz w:val="16"/>
                        <w:vertAlign w:val="baseline"/>
                      </w:rPr>
                      <w:t>Development of a mature, large- scale hydrothermal system in which subhorizontal isotherms control the formation of semiconformable hydrothermal alteration assemblages. The high-temperature reaction zone next to the cooling intrusion is periodically breached due to seismic activity or dyke emplacement, allowing focused upflow of metal-rich fluids to the seafloor and formation of VMS deposits. From Galley</w:t>
                    </w:r>
                    <w:r>
                      <w:rPr>
                        <w:color w:val="231F20"/>
                        <w:spacing w:val="5"/>
                        <w:sz w:val="16"/>
                        <w:vertAlign w:val="baseline"/>
                      </w:rPr>
                      <w:t> </w:t>
                    </w:r>
                    <w:r>
                      <w:rPr>
                        <w:color w:val="231F20"/>
                        <w:sz w:val="16"/>
                        <w:vertAlign w:val="baseline"/>
                      </w:rPr>
                      <w:t>(1993).</w:t>
                    </w:r>
                  </w:p>
                </w:txbxContent>
              </v:textbox>
              <w10:wrap type="none"/>
            </v:shape>
            <w10:wrap type="none"/>
          </v:group>
        </w:pict>
      </w:r>
      <w:r>
        <w:rPr>
          <w:color w:val="231F20"/>
        </w:rPr>
        <w:t>Matagami </w:t>
      </w:r>
      <w:r>
        <w:rPr>
          <w:color w:val="231F20"/>
          <w:spacing w:val="1"/>
        </w:rPr>
        <w:t>Lake, </w:t>
      </w:r>
      <w:r>
        <w:rPr>
          <w:color w:val="231F20"/>
        </w:rPr>
        <w:t>and Snow </w:t>
      </w:r>
      <w:r>
        <w:rPr>
          <w:color w:val="231F20"/>
          <w:spacing w:val="1"/>
        </w:rPr>
        <w:t>Lake </w:t>
      </w:r>
      <w:r>
        <w:rPr>
          <w:color w:val="231F20"/>
        </w:rPr>
        <w:t>VMS </w:t>
      </w:r>
      <w:r>
        <w:rPr>
          <w:color w:val="231F20"/>
          <w:spacing w:val="2"/>
        </w:rPr>
        <w:t>camps </w:t>
      </w:r>
      <w:r>
        <w:rPr>
          <w:color w:val="231F20"/>
        </w:rPr>
        <w:t>(Kalogeropoulos and Scott, 1989; Liaghat and MacLean, 1992; Bailes and </w:t>
      </w:r>
      <w:r>
        <w:rPr>
          <w:color w:val="231F20"/>
          <w:spacing w:val="-3"/>
        </w:rPr>
        <w:t>Galley, </w:t>
      </w:r>
      <w:r>
        <w:rPr>
          <w:color w:val="231F20"/>
        </w:rPr>
        <w:t>1999). In felsic</w:t>
      </w:r>
      <w:r>
        <w:rPr>
          <w:color w:val="231F20"/>
          <w:spacing w:val="-36"/>
        </w:rPr>
        <w:t> </w:t>
      </w:r>
      <w:r>
        <w:rPr>
          <w:color w:val="231F20"/>
        </w:rPr>
        <w:t>volcaniclastic-dom- inated terranes, the generation of Fe-formation exhalites</w:t>
      </w:r>
      <w:r>
        <w:rPr>
          <w:color w:val="231F20"/>
          <w:spacing w:val="-29"/>
        </w:rPr>
        <w:t> </w:t>
      </w:r>
      <w:r>
        <w:rPr>
          <w:color w:val="231F20"/>
        </w:rPr>
        <w:t>was accompanied by extensive K-Mg alteration of the felsic sub- strate, as recorded in the Bergslagen district of Sweden (Lagerblad and Gorbatschev, 1985) and in the Iberian Pyrite Belt (Munha and Kerrich,</w:t>
      </w:r>
      <w:r>
        <w:rPr>
          <w:color w:val="231F20"/>
          <w:spacing w:val="15"/>
        </w:rPr>
        <w:t> </w:t>
      </w:r>
      <w:r>
        <w:rPr>
          <w:color w:val="231F20"/>
        </w:rPr>
        <w:t>1980).</w:t>
      </w:r>
    </w:p>
    <w:p>
      <w:pPr>
        <w:spacing w:after="0" w:line="230" w:lineRule="auto"/>
        <w:jc w:val="both"/>
        <w:sectPr>
          <w:type w:val="continuous"/>
          <w:pgSz w:w="12240" w:h="15840"/>
          <w:pgMar w:top="920" w:bottom="280" w:left="0" w:right="0"/>
          <w:cols w:num="2" w:equalWidth="0">
            <w:col w:w="4716" w:space="40"/>
            <w:col w:w="7484"/>
          </w:cols>
        </w:sectPr>
      </w:pPr>
    </w:p>
    <w:p>
      <w:pPr>
        <w:pStyle w:val="BodyText"/>
      </w:pPr>
    </w:p>
    <w:p>
      <w:pPr>
        <w:pStyle w:val="BodyText"/>
        <w:rPr>
          <w:sz w:val="10"/>
        </w:rPr>
      </w:pPr>
    </w:p>
    <w:p>
      <w:pPr>
        <w:pStyle w:val="BodyText"/>
        <w:spacing w:before="6"/>
        <w:rPr>
          <w:sz w:val="12"/>
        </w:rPr>
      </w:pPr>
    </w:p>
    <w:p>
      <w:pPr>
        <w:spacing w:before="0"/>
        <w:ind w:left="5712" w:right="4713" w:firstLine="0"/>
        <w:jc w:val="center"/>
        <w:rPr>
          <w:rFonts w:ascii="Arial"/>
          <w:sz w:val="10"/>
        </w:rPr>
      </w:pPr>
      <w:r>
        <w:rPr/>
        <w:pict>
          <v:group style="position:absolute;margin-left:341.567993pt;margin-top:-6.158668pt;width:218pt;height:149.4pt;mso-position-horizontal-relative:page;mso-position-vertical-relative:paragraph;z-index:6712" coordorigin="6831,-123" coordsize="4360,2988">
            <v:shape style="position:absolute;left:6831;top:-124;width:4360;height:2988" type="#_x0000_t75" stroked="false">
              <v:imagedata r:id="rId179" o:title=""/>
            </v:shape>
            <v:shape style="position:absolute;left:-2322;top:6099;width:2322;height:84" coordorigin="-2322,6100" coordsize="2322,84" path="m10696,2857l10696,2778m9919,2862l9919,2783m9141,2862l9141,2796m8375,2862l8375,2803e" filled="false" stroked="true" strokeweight=".366pt" strokecolor="#231f20">
              <v:path arrowok="t"/>
              <v:stroke dashstyle="solid"/>
            </v:shape>
            <v:rect style="position:absolute;left:6835;top:-113;width:4352;height:2974" filled="false" stroked="true" strokeweight=".366pt" strokecolor="#231f20">
              <v:stroke dashstyle="solid"/>
            </v:rect>
            <v:shape style="position:absolute;left:7208;top:2335;width:1090;height:487" type="#_x0000_t202" filled="false" stroked="false">
              <v:textbox inset="0,0,0,0">
                <w:txbxContent>
                  <w:p>
                    <w:pPr>
                      <w:spacing w:line="218" w:lineRule="auto" w:before="10"/>
                      <w:ind w:left="8" w:right="-4" w:firstLine="0"/>
                      <w:jc w:val="left"/>
                      <w:rPr>
                        <w:rFonts w:ascii="Arial"/>
                        <w:sz w:val="11"/>
                      </w:rPr>
                    </w:pPr>
                    <w:r>
                      <w:rPr>
                        <w:rFonts w:ascii="Arial"/>
                        <w:color w:val="231F20"/>
                        <w:w w:val="105"/>
                        <w:sz w:val="11"/>
                      </w:rPr>
                      <w:t>Chlorite-Clinozoisite- Actinolite</w:t>
                    </w:r>
                  </w:p>
                  <w:p>
                    <w:pPr>
                      <w:spacing w:line="218" w:lineRule="auto" w:before="12"/>
                      <w:ind w:left="0" w:right="72" w:firstLine="0"/>
                      <w:jc w:val="left"/>
                      <w:rPr>
                        <w:rFonts w:ascii="Arial"/>
                        <w:sz w:val="11"/>
                      </w:rPr>
                    </w:pPr>
                    <w:r>
                      <w:rPr>
                        <w:rFonts w:ascii="Arial"/>
                        <w:color w:val="231F20"/>
                        <w:w w:val="105"/>
                        <w:sz w:val="11"/>
                      </w:rPr>
                      <w:t>Prehnite- </w:t>
                    </w:r>
                    <w:r>
                      <w:rPr>
                        <w:rFonts w:ascii="Arial"/>
                        <w:color w:val="231F20"/>
                        <w:sz w:val="11"/>
                      </w:rPr>
                      <w:t>Pumpellyite</w:t>
                    </w:r>
                  </w:p>
                </w:txbxContent>
              </v:textbox>
              <w10:wrap type="none"/>
            </v:shape>
            <v:shape style="position:absolute;left:10181;top:1394;width:530;height:281" type="#_x0000_t202" filled="false" stroked="false">
              <v:textbox inset="0,0,0,0">
                <w:txbxContent>
                  <w:p>
                    <w:pPr>
                      <w:spacing w:line="244" w:lineRule="auto" w:before="1"/>
                      <w:ind w:left="0" w:right="0" w:firstLine="0"/>
                      <w:jc w:val="left"/>
                      <w:rPr>
                        <w:rFonts w:ascii="Arial"/>
                        <w:i/>
                        <w:sz w:val="12"/>
                      </w:rPr>
                    </w:pPr>
                    <w:r>
                      <w:rPr>
                        <w:rFonts w:ascii="Arial"/>
                        <w:i/>
                        <w:color w:val="231F20"/>
                        <w:w w:val="105"/>
                        <w:sz w:val="12"/>
                      </w:rPr>
                      <w:t>Epidote- </w:t>
                    </w:r>
                    <w:r>
                      <w:rPr>
                        <w:rFonts w:ascii="Arial"/>
                        <w:i/>
                        <w:color w:val="231F20"/>
                        <w:sz w:val="12"/>
                      </w:rPr>
                      <w:t>Actinolite</w:t>
                    </w:r>
                  </w:p>
                </w:txbxContent>
              </v:textbox>
              <w10:wrap type="none"/>
            </v:shape>
            <v:shape style="position:absolute;left:7752;top:1074;width:1008;height:682" type="#_x0000_t202" filled="false" stroked="false">
              <v:textbox inset="0,0,0,0">
                <w:txbxContent>
                  <w:p>
                    <w:pPr>
                      <w:spacing w:line="244" w:lineRule="auto" w:before="1"/>
                      <w:ind w:left="477" w:right="-1" w:firstLine="0"/>
                      <w:jc w:val="left"/>
                      <w:rPr>
                        <w:rFonts w:ascii="Arial"/>
                        <w:i/>
                        <w:sz w:val="12"/>
                      </w:rPr>
                    </w:pPr>
                    <w:r>
                      <w:rPr>
                        <w:rFonts w:ascii="Arial"/>
                        <w:i/>
                        <w:color w:val="231F20"/>
                        <w:w w:val="105"/>
                        <w:sz w:val="12"/>
                      </w:rPr>
                      <w:t>Epidote- </w:t>
                    </w:r>
                    <w:r>
                      <w:rPr>
                        <w:rFonts w:ascii="Arial"/>
                        <w:i/>
                        <w:color w:val="231F20"/>
                        <w:w w:val="105"/>
                        <w:sz w:val="12"/>
                      </w:rPr>
                      <w:t>Actinolite</w:t>
                    </w:r>
                  </w:p>
                  <w:p>
                    <w:pPr>
                      <w:spacing w:line="240" w:lineRule="auto" w:before="8"/>
                      <w:rPr>
                        <w:sz w:val="14"/>
                      </w:rPr>
                    </w:pPr>
                  </w:p>
                  <w:p>
                    <w:pPr>
                      <w:spacing w:line="213" w:lineRule="auto" w:before="1"/>
                      <w:ind w:left="123" w:right="340" w:hanging="124"/>
                      <w:jc w:val="left"/>
                      <w:rPr>
                        <w:rFonts w:ascii="Arial"/>
                        <w:b/>
                        <w:sz w:val="11"/>
                      </w:rPr>
                    </w:pPr>
                    <w:r>
                      <w:rPr>
                        <w:rFonts w:ascii="Arial"/>
                        <w:b/>
                        <w:color w:val="231F20"/>
                        <w:w w:val="105"/>
                        <w:sz w:val="11"/>
                      </w:rPr>
                      <w:t>Clinozoisite Absent</w:t>
                    </w:r>
                  </w:p>
                </w:txbxContent>
              </v:textbox>
              <w10:wrap type="none"/>
            </v:shape>
            <v:shape style="position:absolute;left:9592;top:395;width:655;height:281" type="#_x0000_t202" filled="false" stroked="false">
              <v:textbox inset="0,0,0,0">
                <w:txbxContent>
                  <w:p>
                    <w:pPr>
                      <w:spacing w:line="244" w:lineRule="auto" w:before="1"/>
                      <w:ind w:left="0" w:right="-3" w:firstLine="0"/>
                      <w:jc w:val="left"/>
                      <w:rPr>
                        <w:rFonts w:ascii="Arial"/>
                        <w:i/>
                        <w:sz w:val="12"/>
                      </w:rPr>
                    </w:pPr>
                    <w:r>
                      <w:rPr>
                        <w:rFonts w:ascii="Arial"/>
                        <w:i/>
                        <w:color w:val="231F20"/>
                        <w:w w:val="105"/>
                        <w:sz w:val="12"/>
                      </w:rPr>
                      <w:t>Prehnite- </w:t>
                    </w:r>
                    <w:r>
                      <w:rPr>
                        <w:rFonts w:ascii="Arial"/>
                        <w:i/>
                        <w:color w:val="231F20"/>
                        <w:w w:val="105"/>
                        <w:sz w:val="12"/>
                      </w:rPr>
                      <w:t>pumpellyite</w:t>
                    </w:r>
                  </w:p>
                </w:txbxContent>
              </v:textbox>
              <w10:wrap type="none"/>
            </v:shape>
            <v:shape style="position:absolute;left:7084;top:12;width:655;height:281" type="#_x0000_t202" filled="false" stroked="false">
              <v:textbox inset="0,0,0,0">
                <w:txbxContent>
                  <w:p>
                    <w:pPr>
                      <w:spacing w:line="244" w:lineRule="auto" w:before="1"/>
                      <w:ind w:left="0" w:right="-3" w:firstLine="0"/>
                      <w:jc w:val="left"/>
                      <w:rPr>
                        <w:rFonts w:ascii="Arial"/>
                        <w:i/>
                        <w:sz w:val="12"/>
                      </w:rPr>
                    </w:pPr>
                    <w:r>
                      <w:rPr>
                        <w:rFonts w:ascii="Arial"/>
                        <w:i/>
                        <w:color w:val="231F20"/>
                        <w:w w:val="105"/>
                        <w:sz w:val="12"/>
                      </w:rPr>
                      <w:t>Prehnite- </w:t>
                    </w:r>
                    <w:r>
                      <w:rPr>
                        <w:rFonts w:ascii="Arial"/>
                        <w:i/>
                        <w:color w:val="231F20"/>
                        <w:w w:val="105"/>
                        <w:sz w:val="12"/>
                      </w:rPr>
                      <w:t>pumpellyite</w:t>
                    </w:r>
                  </w:p>
                </w:txbxContent>
              </v:textbox>
              <w10:wrap type="none"/>
            </v:shape>
            <w10:wrap type="none"/>
          </v:group>
        </w:pict>
      </w:r>
      <w:r>
        <w:rPr>
          <w:rFonts w:ascii="Arial"/>
          <w:color w:val="231F20"/>
          <w:sz w:val="10"/>
        </w:rPr>
        <w:t>5370</w:t>
      </w:r>
    </w:p>
    <w:p>
      <w:pPr>
        <w:pStyle w:val="BodyText"/>
        <w:rPr>
          <w:rFonts w:ascii="Arial"/>
        </w:rPr>
      </w:pPr>
    </w:p>
    <w:p>
      <w:pPr>
        <w:pStyle w:val="BodyText"/>
        <w:spacing w:before="10"/>
        <w:rPr>
          <w:rFonts w:ascii="Arial"/>
          <w:sz w:val="26"/>
        </w:rPr>
      </w:pPr>
    </w:p>
    <w:p>
      <w:pPr>
        <w:spacing w:after="0"/>
        <w:rPr>
          <w:rFonts w:ascii="Arial"/>
          <w:sz w:val="26"/>
        </w:rPr>
        <w:sectPr>
          <w:type w:val="continuous"/>
          <w:pgSz w:w="12240" w:h="15840"/>
          <w:pgMar w:top="920" w:bottom="280" w:left="0" w:right="0"/>
        </w:sectPr>
      </w:pPr>
    </w:p>
    <w:p>
      <w:pPr>
        <w:pStyle w:val="BodyText"/>
        <w:spacing w:line="230" w:lineRule="auto" w:before="202"/>
        <w:ind w:left="1115"/>
        <w:jc w:val="both"/>
      </w:pPr>
      <w:r>
        <w:rPr/>
        <w:pict>
          <v:shape style="position:absolute;margin-left:366.379852pt;margin-top:33.184959pt;width:33.6pt;height:6.3pt;mso-position-horizontal-relative:page;mso-position-vertical-relative:paragraph;z-index:6832;rotation:324" type="#_x0000_t136" fillcolor="#231f20" stroked="f">
            <o:extrusion v:ext="view" autorotationcenter="t"/>
            <v:textpath style="font-family:&amp;quot;Arial&amp;quot;;font-size:6pt;v-text-kern:t;mso-text-shadow:auto" string="Greenschist"/>
            <w10:wrap type="none"/>
          </v:shape>
        </w:pict>
      </w:r>
      <w:r>
        <w:rPr/>
        <w:pict>
          <v:shape style="position:absolute;margin-left:356.010284pt;margin-top:25.117924pt;width:45.5pt;height:6.3pt;mso-position-horizontal-relative:page;mso-position-vertical-relative:paragraph;z-index:6856;rotation:325" type="#_x0000_t136" fillcolor="#231f20" stroked="f">
            <o:extrusion v:ext="view" autorotationcenter="t"/>
            <v:textpath style="font-family:&amp;quot;Arial&amp;quot;;font-size:6pt;v-text-kern:t;mso-text-shadow:auto" string="Sub-greenschist"/>
            <w10:wrap type="none"/>
          </v:shape>
        </w:pict>
      </w:r>
      <w:r>
        <w:rPr>
          <w:color w:val="231F20"/>
        </w:rPr>
        <w:t>the seafloor are zeolite-clay and related subgreenschist min- eral assemblages characterized by K-Mg-rich smectites, mixed-layer chlorites, and K-feldspar. In some regional </w:t>
      </w:r>
      <w:r>
        <w:rPr>
          <w:color w:val="231F20"/>
          <w:spacing w:val="1"/>
        </w:rPr>
        <w:t>hydrothermal </w:t>
      </w:r>
      <w:r>
        <w:rPr>
          <w:color w:val="231F20"/>
        </w:rPr>
        <w:t>systems, the </w:t>
      </w:r>
      <w:r>
        <w:rPr>
          <w:color w:val="231F20"/>
          <w:spacing w:val="1"/>
        </w:rPr>
        <w:t>low-temperature </w:t>
      </w:r>
      <w:r>
        <w:rPr>
          <w:color w:val="231F20"/>
          <w:spacing w:val="2"/>
        </w:rPr>
        <w:t>alteration </w:t>
      </w:r>
      <w:r>
        <w:rPr>
          <w:color w:val="231F20"/>
        </w:rPr>
        <w:t>assemblages closest to the seafloor are dominated by car- bonate species due to precipitation from shallowly circulat- ing seawater (Fig. 16D). These chemical and mineralogical changes</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ancient</w:t>
      </w:r>
      <w:r>
        <w:rPr>
          <w:color w:val="231F20"/>
          <w:spacing w:val="-6"/>
        </w:rPr>
        <w:t> </w:t>
      </w:r>
      <w:r>
        <w:rPr>
          <w:color w:val="231F20"/>
        </w:rPr>
        <w:t>rock</w:t>
      </w:r>
      <w:r>
        <w:rPr>
          <w:color w:val="231F20"/>
          <w:spacing w:val="-6"/>
        </w:rPr>
        <w:t> </w:t>
      </w:r>
      <w:r>
        <w:rPr>
          <w:color w:val="231F20"/>
        </w:rPr>
        <w:t>record</w:t>
      </w:r>
      <w:r>
        <w:rPr>
          <w:color w:val="231F20"/>
          <w:spacing w:val="-6"/>
        </w:rPr>
        <w:t> </w:t>
      </w:r>
      <w:r>
        <w:rPr>
          <w:color w:val="231F20"/>
        </w:rPr>
        <w:t>can</w:t>
      </w:r>
      <w:r>
        <w:rPr>
          <w:color w:val="231F20"/>
          <w:spacing w:val="-6"/>
        </w:rPr>
        <w:t> </w:t>
      </w:r>
      <w:r>
        <w:rPr>
          <w:color w:val="231F20"/>
        </w:rPr>
        <w:t>be</w:t>
      </w:r>
      <w:r>
        <w:rPr>
          <w:color w:val="231F20"/>
          <w:spacing w:val="-6"/>
        </w:rPr>
        <w:t> </w:t>
      </w:r>
      <w:r>
        <w:rPr>
          <w:color w:val="231F20"/>
        </w:rPr>
        <w:t>further</w:t>
      </w:r>
      <w:r>
        <w:rPr>
          <w:color w:val="231F20"/>
          <w:spacing w:val="-6"/>
        </w:rPr>
        <w:t> </w:t>
      </w:r>
      <w:r>
        <w:rPr>
          <w:color w:val="231F20"/>
        </w:rPr>
        <w:t>revealed</w:t>
      </w:r>
      <w:r>
        <w:rPr>
          <w:color w:val="231F20"/>
          <w:spacing w:val="-6"/>
        </w:rPr>
        <w:t> </w:t>
      </w:r>
      <w:r>
        <w:rPr>
          <w:color w:val="231F20"/>
        </w:rPr>
        <w:t>by mapping shifts in bulk rock oxygen and hydrogen isotope compositions of the different zones (Green et al., 1983; </w:t>
      </w:r>
      <w:r>
        <w:rPr>
          <w:color w:val="231F20"/>
          <w:spacing w:val="-3"/>
        </w:rPr>
        <w:t>Taylor </w:t>
      </w:r>
      <w:r>
        <w:rPr>
          <w:color w:val="231F20"/>
        </w:rPr>
        <w:t>and South, 1985; Aggarwal and Longstaffe,</w:t>
      </w:r>
      <w:r>
        <w:rPr>
          <w:color w:val="231F20"/>
          <w:spacing w:val="3"/>
        </w:rPr>
        <w:t> </w:t>
      </w:r>
      <w:r>
        <w:rPr>
          <w:color w:val="231F20"/>
        </w:rPr>
        <w:t>1987;</w:t>
      </w:r>
    </w:p>
    <w:p>
      <w:pPr>
        <w:pStyle w:val="BodyText"/>
        <w:spacing w:before="6"/>
        <w:rPr>
          <w:sz w:val="8"/>
        </w:rPr>
      </w:pPr>
      <w:r>
        <w:rPr/>
        <w:br w:type="column"/>
      </w:r>
      <w:r>
        <w:rPr>
          <w:sz w:val="8"/>
        </w:rPr>
      </w:r>
    </w:p>
    <w:p>
      <w:pPr>
        <w:spacing w:before="0"/>
        <w:ind w:left="0" w:right="16" w:firstLine="0"/>
        <w:jc w:val="right"/>
        <w:rPr>
          <w:rFonts w:ascii="Arial"/>
          <w:sz w:val="10"/>
        </w:rPr>
      </w:pPr>
      <w:r>
        <w:rPr>
          <w:rFonts w:ascii="Arial"/>
          <w:color w:val="231F20"/>
          <w:sz w:val="10"/>
        </w:rPr>
        <w:t>5360</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76"/>
        <w:ind w:left="0" w:right="0" w:firstLine="0"/>
        <w:jc w:val="right"/>
        <w:rPr>
          <w:rFonts w:ascii="Arial"/>
          <w:sz w:val="10"/>
        </w:rPr>
      </w:pPr>
      <w:r>
        <w:rPr/>
        <w:pict>
          <v:shape style="position:absolute;margin-left:315.232941pt;margin-top:-31.81057pt;width:8.4pt;height:41.35pt;mso-position-horizontal-relative:page;mso-position-vertical-relative:paragraph;z-index:6808" type="#_x0000_t202" filled="false" stroked="false">
            <v:textbox inset="0,0,0,0" style="layout-flow:vertical;mso-layout-flow-alt:bottom-to-top">
              <w:txbxContent>
                <w:p>
                  <w:pPr>
                    <w:spacing w:before="20"/>
                    <w:ind w:left="20" w:right="0" w:firstLine="0"/>
                    <w:jc w:val="left"/>
                    <w:rPr>
                      <w:rFonts w:ascii="Arial"/>
                      <w:sz w:val="11"/>
                    </w:rPr>
                  </w:pPr>
                  <w:r>
                    <w:rPr>
                      <w:rFonts w:ascii="Arial"/>
                      <w:color w:val="231F20"/>
                      <w:w w:val="105"/>
                      <w:sz w:val="11"/>
                    </w:rPr>
                    <w:t>Northing (UTM)</w:t>
                  </w:r>
                </w:p>
              </w:txbxContent>
            </v:textbox>
            <w10:wrap type="none"/>
          </v:shape>
        </w:pict>
      </w:r>
      <w:r>
        <w:rPr>
          <w:rFonts w:ascii="Arial"/>
          <w:color w:val="231F20"/>
          <w:sz w:val="10"/>
        </w:rPr>
        <w:t>5350</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74"/>
        <w:ind w:left="0" w:right="0" w:firstLine="0"/>
        <w:jc w:val="right"/>
        <w:rPr>
          <w:rFonts w:ascii="Arial"/>
          <w:sz w:val="10"/>
        </w:rPr>
      </w:pPr>
      <w:r>
        <w:rPr>
          <w:rFonts w:ascii="Arial"/>
          <w:color w:val="231F20"/>
          <w:sz w:val="10"/>
        </w:rPr>
        <w:t>5340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tabs>
          <w:tab w:pos="760" w:val="left" w:leader="none"/>
          <w:tab w:pos="1535" w:val="left" w:leader="none"/>
        </w:tabs>
        <w:spacing w:before="69"/>
        <w:ind w:left="17" w:right="0" w:firstLine="0"/>
        <w:jc w:val="left"/>
        <w:rPr>
          <w:rFonts w:ascii="Arial"/>
          <w:sz w:val="10"/>
        </w:rPr>
      </w:pPr>
      <w:r>
        <w:rPr>
          <w:rFonts w:ascii="Arial"/>
          <w:color w:val="231F20"/>
          <w:sz w:val="10"/>
        </w:rPr>
        <w:t>610</w:t>
        <w:tab/>
        <w:t>620</w:t>
        <w:tab/>
      </w:r>
      <w:r>
        <w:rPr>
          <w:rFonts w:ascii="Arial"/>
          <w:color w:val="231F20"/>
          <w:spacing w:val="-1"/>
          <w:sz w:val="10"/>
        </w:rPr>
        <w:t>630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69"/>
        <w:ind w:left="319" w:right="0" w:firstLine="0"/>
        <w:jc w:val="center"/>
        <w:rPr>
          <w:rFonts w:ascii="Arial"/>
          <w:sz w:val="10"/>
        </w:rPr>
      </w:pPr>
      <w:r>
        <w:rPr>
          <w:rFonts w:ascii="Arial"/>
          <w:color w:val="231F20"/>
          <w:sz w:val="10"/>
        </w:rPr>
        <w:t>640</w:t>
      </w:r>
    </w:p>
    <w:p>
      <w:pPr>
        <w:spacing w:before="1"/>
        <w:ind w:left="238" w:right="0" w:firstLine="0"/>
        <w:jc w:val="center"/>
        <w:rPr>
          <w:rFonts w:ascii="Arial"/>
          <w:sz w:val="11"/>
        </w:rPr>
      </w:pPr>
      <w:r>
        <w:rPr>
          <w:rFonts w:ascii="Arial"/>
          <w:color w:val="231F20"/>
          <w:w w:val="105"/>
          <w:sz w:val="11"/>
        </w:rPr>
        <w:t>Easting</w:t>
      </w:r>
      <w:r>
        <w:rPr>
          <w:rFonts w:ascii="Arial"/>
          <w:color w:val="231F20"/>
          <w:spacing w:val="-9"/>
          <w:w w:val="105"/>
          <w:sz w:val="11"/>
        </w:rPr>
        <w:t> </w:t>
      </w:r>
      <w:r>
        <w:rPr>
          <w:rFonts w:ascii="Arial"/>
          <w:color w:val="231F20"/>
          <w:w w:val="105"/>
          <w:sz w:val="11"/>
        </w:rPr>
        <w:t>(UTM)</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69"/>
        <w:ind w:left="307" w:right="0" w:firstLine="0"/>
        <w:jc w:val="left"/>
        <w:rPr>
          <w:rFonts w:ascii="Arial"/>
          <w:sz w:val="10"/>
        </w:rPr>
      </w:pPr>
      <w:r>
        <w:rPr/>
        <w:pict>
          <v:shape style="position:absolute;margin-left:486.680695pt;margin-top:-36.4104pt;width:33.6pt;height:6.3pt;mso-position-horizontal-relative:page;mso-position-vertical-relative:paragraph;z-index:6880;rotation:347" type="#_x0000_t136" fillcolor="#231f20" stroked="f">
            <o:extrusion v:ext="view" autorotationcenter="t"/>
            <v:textpath style="font-family:&amp;quot;Arial&amp;quot;;font-size:6pt;v-text-kern:t;mso-text-shadow:auto" string="Greenschist"/>
            <w10:wrap type="none"/>
          </v:shape>
        </w:pict>
      </w:r>
      <w:r>
        <w:rPr/>
        <w:pict>
          <v:shape style="position:absolute;margin-left:489.680786pt;margin-top:-26.81181pt;width:32.950pt;height:6.3pt;mso-position-horizontal-relative:page;mso-position-vertical-relative:paragraph;z-index:6904;rotation:347" type="#_x0000_t136" fillcolor="#231f20" stroked="f">
            <o:extrusion v:ext="view" autorotationcenter="t"/>
            <v:textpath style="font-family:&amp;quot;Arial&amp;quot;;font-size:6pt;v-text-kern:t;mso-text-shadow:auto" string="Amphibolite"/>
            <w10:wrap type="none"/>
          </v:shape>
        </w:pict>
      </w:r>
      <w:r>
        <w:rPr>
          <w:rFonts w:ascii="Arial"/>
          <w:color w:val="231F20"/>
          <w:sz w:val="10"/>
        </w:rPr>
        <w:t>660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69"/>
        <w:ind w:left="580" w:right="0" w:firstLine="0"/>
        <w:jc w:val="left"/>
        <w:rPr>
          <w:rFonts w:ascii="Arial"/>
          <w:sz w:val="10"/>
        </w:rPr>
      </w:pPr>
      <w:r>
        <w:rPr>
          <w:rFonts w:ascii="Arial"/>
          <w:color w:val="231F20"/>
          <w:sz w:val="10"/>
        </w:rPr>
        <w:t>650</w:t>
      </w:r>
    </w:p>
    <w:p>
      <w:pPr>
        <w:spacing w:after="0"/>
        <w:jc w:val="left"/>
        <w:rPr>
          <w:rFonts w:ascii="Arial"/>
          <w:sz w:val="10"/>
        </w:rPr>
        <w:sectPr>
          <w:type w:val="continuous"/>
          <w:pgSz w:w="12240" w:h="15840"/>
          <w:pgMar w:top="920" w:bottom="280" w:left="0" w:right="0"/>
          <w:cols w:num="6" w:equalWidth="0">
            <w:col w:w="5961" w:space="40"/>
            <w:col w:w="737" w:space="39"/>
            <w:col w:w="1704" w:space="39"/>
            <w:col w:w="975" w:space="39"/>
            <w:col w:w="476" w:space="40"/>
            <w:col w:w="2190"/>
          </w:cols>
        </w:sectPr>
      </w:pPr>
    </w:p>
    <w:p>
      <w:pPr>
        <w:pStyle w:val="BodyText"/>
        <w:spacing w:line="230" w:lineRule="auto"/>
        <w:ind w:left="1115"/>
        <w:jc w:val="both"/>
      </w:pPr>
      <w:r>
        <w:rPr>
          <w:color w:val="231F20"/>
        </w:rPr>
        <w:t>Cathles, 1993; Paradis et al., 1993). These stratified alter- ation zones can have a strike length of 5 to 50 km and a thickness of 1 to 3 km in caldera settings (Fig. 15). The size and areal morphology of the alteration system is a reflection of the size and areal morphology of the VMS deposit cluster (Fig. 12). The distribution of VMS deposits within this clus- ter depends on synvolcanic fault distribution relative to the underlying intrusions (Eastoe et al., 1987; Gibson and</w:t>
      </w:r>
    </w:p>
    <w:p>
      <w:pPr>
        <w:spacing w:line="138" w:lineRule="exact" w:before="0"/>
        <w:ind w:left="353"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15. </w:t>
      </w:r>
      <w:r>
        <w:rPr>
          <w:color w:val="231F20"/>
          <w:sz w:val="16"/>
          <w:vertAlign w:val="baseline"/>
        </w:rPr>
        <w:t>Comparison of regional greenschist-facies hydrothermal alter-</w:t>
      </w:r>
    </w:p>
    <w:p>
      <w:pPr>
        <w:spacing w:line="230" w:lineRule="auto" w:before="2"/>
        <w:ind w:left="353" w:right="1065" w:firstLine="0"/>
        <w:jc w:val="both"/>
        <w:rPr>
          <w:sz w:val="16"/>
        </w:rPr>
      </w:pPr>
      <w:r>
        <w:rPr>
          <w:color w:val="231F20"/>
          <w:sz w:val="16"/>
        </w:rPr>
        <w:t>ation in the Noranda </w:t>
      </w:r>
      <w:r>
        <w:rPr>
          <w:color w:val="231F20"/>
          <w:spacing w:val="-3"/>
          <w:sz w:val="16"/>
        </w:rPr>
        <w:t>Volcanic </w:t>
      </w:r>
      <w:r>
        <w:rPr>
          <w:color w:val="231F20"/>
          <w:sz w:val="16"/>
        </w:rPr>
        <w:t>Complex with previously mapped metamor- phic isograds (solid lines from Dimroth et al., 1983; Powell et al., 1993). The</w:t>
      </w:r>
      <w:r>
        <w:rPr>
          <w:color w:val="231F20"/>
          <w:spacing w:val="-5"/>
          <w:sz w:val="16"/>
        </w:rPr>
        <w:t> </w:t>
      </w:r>
      <w:r>
        <w:rPr>
          <w:color w:val="231F20"/>
          <w:sz w:val="16"/>
        </w:rPr>
        <w:t>distribution</w:t>
      </w:r>
      <w:r>
        <w:rPr>
          <w:color w:val="231F20"/>
          <w:spacing w:val="-5"/>
          <w:sz w:val="16"/>
        </w:rPr>
        <w:t> </w:t>
      </w:r>
      <w:r>
        <w:rPr>
          <w:color w:val="231F20"/>
          <w:sz w:val="16"/>
        </w:rPr>
        <w:t>of</w:t>
      </w:r>
      <w:r>
        <w:rPr>
          <w:color w:val="231F20"/>
          <w:spacing w:val="-5"/>
          <w:sz w:val="16"/>
        </w:rPr>
        <w:t> </w:t>
      </w:r>
      <w:r>
        <w:rPr>
          <w:color w:val="231F20"/>
          <w:sz w:val="16"/>
        </w:rPr>
        <w:t>greenschist-facies</w:t>
      </w:r>
      <w:r>
        <w:rPr>
          <w:color w:val="231F20"/>
          <w:spacing w:val="-5"/>
          <w:sz w:val="16"/>
        </w:rPr>
        <w:t> </w:t>
      </w:r>
      <w:r>
        <w:rPr>
          <w:color w:val="231F20"/>
          <w:sz w:val="16"/>
        </w:rPr>
        <w:t>hydrothermal</w:t>
      </w:r>
      <w:r>
        <w:rPr>
          <w:color w:val="231F20"/>
          <w:spacing w:val="-5"/>
          <w:sz w:val="16"/>
        </w:rPr>
        <w:t> </w:t>
      </w:r>
      <w:r>
        <w:rPr>
          <w:color w:val="231F20"/>
          <w:sz w:val="16"/>
        </w:rPr>
        <w:t>alteration</w:t>
      </w:r>
      <w:r>
        <w:rPr>
          <w:color w:val="231F20"/>
          <w:spacing w:val="-5"/>
          <w:sz w:val="16"/>
        </w:rPr>
        <w:t> </w:t>
      </w:r>
      <w:r>
        <w:rPr>
          <w:color w:val="231F20"/>
          <w:sz w:val="16"/>
        </w:rPr>
        <w:t>(shaded)</w:t>
      </w:r>
      <w:r>
        <w:rPr>
          <w:color w:val="231F20"/>
          <w:spacing w:val="-5"/>
          <w:sz w:val="16"/>
        </w:rPr>
        <w:t> </w:t>
      </w:r>
      <w:r>
        <w:rPr>
          <w:color w:val="231F20"/>
          <w:sz w:val="16"/>
        </w:rPr>
        <w:t>sug- gests that interpreted metamorphic zonation is at least partly a product of early synvolcanic hydrothermal processes. Note that epidote and chlorite</w:t>
      </w:r>
      <w:r>
        <w:rPr>
          <w:color w:val="231F20"/>
          <w:spacing w:val="-22"/>
          <w:sz w:val="16"/>
        </w:rPr>
        <w:t> </w:t>
      </w:r>
      <w:r>
        <w:rPr>
          <w:color w:val="231F20"/>
          <w:sz w:val="16"/>
        </w:rPr>
        <w:t>in the</w:t>
      </w:r>
      <w:r>
        <w:rPr>
          <w:color w:val="231F20"/>
          <w:spacing w:val="-5"/>
          <w:sz w:val="16"/>
        </w:rPr>
        <w:t> </w:t>
      </w:r>
      <w:r>
        <w:rPr>
          <w:color w:val="231F20"/>
          <w:sz w:val="16"/>
        </w:rPr>
        <w:t>pre-cauldron</w:t>
      </w:r>
      <w:r>
        <w:rPr>
          <w:color w:val="231F20"/>
          <w:spacing w:val="-5"/>
          <w:sz w:val="16"/>
        </w:rPr>
        <w:t> </w:t>
      </w:r>
      <w:r>
        <w:rPr>
          <w:color w:val="231F20"/>
          <w:sz w:val="16"/>
        </w:rPr>
        <w:t>sequence</w:t>
      </w:r>
      <w:r>
        <w:rPr>
          <w:color w:val="231F20"/>
          <w:spacing w:val="-5"/>
          <w:sz w:val="16"/>
        </w:rPr>
        <w:t> </w:t>
      </w:r>
      <w:r>
        <w:rPr>
          <w:color w:val="231F20"/>
          <w:sz w:val="16"/>
        </w:rPr>
        <w:t>are</w:t>
      </w:r>
      <w:r>
        <w:rPr>
          <w:color w:val="231F20"/>
          <w:spacing w:val="-5"/>
          <w:sz w:val="16"/>
        </w:rPr>
        <w:t> </w:t>
      </w:r>
      <w:r>
        <w:rPr>
          <w:color w:val="231F20"/>
          <w:sz w:val="16"/>
        </w:rPr>
        <w:t>distinct</w:t>
      </w:r>
      <w:r>
        <w:rPr>
          <w:color w:val="231F20"/>
          <w:spacing w:val="-5"/>
          <w:sz w:val="16"/>
        </w:rPr>
        <w:t> </w:t>
      </w:r>
      <w:r>
        <w:rPr>
          <w:color w:val="231F20"/>
          <w:sz w:val="16"/>
        </w:rPr>
        <w:t>from</w:t>
      </w:r>
      <w:r>
        <w:rPr>
          <w:color w:val="231F20"/>
          <w:spacing w:val="-5"/>
          <w:sz w:val="16"/>
        </w:rPr>
        <w:t> </w:t>
      </w:r>
      <w:r>
        <w:rPr>
          <w:color w:val="231F20"/>
          <w:sz w:val="16"/>
        </w:rPr>
        <w:t>those</w:t>
      </w:r>
      <w:r>
        <w:rPr>
          <w:color w:val="231F20"/>
          <w:spacing w:val="-5"/>
          <w:sz w:val="16"/>
        </w:rPr>
        <w:t> </w:t>
      </w:r>
      <w:r>
        <w:rPr>
          <w:color w:val="231F20"/>
          <w:sz w:val="16"/>
        </w:rPr>
        <w:t>of</w:t>
      </w:r>
      <w:r>
        <w:rPr>
          <w:color w:val="231F20"/>
          <w:spacing w:val="-5"/>
          <w:sz w:val="16"/>
        </w:rPr>
        <w:t> </w:t>
      </w:r>
      <w:r>
        <w:rPr>
          <w:color w:val="231F20"/>
          <w:sz w:val="16"/>
        </w:rPr>
        <w:t>the</w:t>
      </w:r>
      <w:r>
        <w:rPr>
          <w:color w:val="231F20"/>
          <w:spacing w:val="-5"/>
          <w:sz w:val="16"/>
        </w:rPr>
        <w:t> </w:t>
      </w:r>
      <w:r>
        <w:rPr>
          <w:color w:val="231F20"/>
          <w:sz w:val="16"/>
        </w:rPr>
        <w:t>mine</w:t>
      </w:r>
      <w:r>
        <w:rPr>
          <w:color w:val="231F20"/>
          <w:spacing w:val="-5"/>
          <w:sz w:val="16"/>
        </w:rPr>
        <w:t> </w:t>
      </w:r>
      <w:r>
        <w:rPr>
          <w:color w:val="231F20"/>
          <w:sz w:val="16"/>
        </w:rPr>
        <w:t>sequence</w:t>
      </w:r>
      <w:r>
        <w:rPr>
          <w:color w:val="231F20"/>
          <w:spacing w:val="-5"/>
          <w:sz w:val="16"/>
        </w:rPr>
        <w:t> </w:t>
      </w:r>
      <w:r>
        <w:rPr>
          <w:color w:val="231F20"/>
          <w:sz w:val="16"/>
        </w:rPr>
        <w:t>vol- canic rocks, even though they are well within the epidote-actinolite subfa- cies and have been metamorphosed at the same pressure and temperature. Modified from Hannington et al.</w:t>
      </w:r>
      <w:r>
        <w:rPr>
          <w:color w:val="231F20"/>
          <w:spacing w:val="15"/>
          <w:sz w:val="16"/>
        </w:rPr>
        <w:t> </w:t>
      </w:r>
      <w:r>
        <w:rPr>
          <w:color w:val="231F20"/>
          <w:sz w:val="16"/>
        </w:rPr>
        <w:t>(2003).</w:t>
      </w:r>
    </w:p>
    <w:p>
      <w:pPr>
        <w:spacing w:after="0" w:line="230" w:lineRule="auto"/>
        <w:jc w:val="both"/>
        <w:rPr>
          <w:sz w:val="16"/>
        </w:rPr>
        <w:sectPr>
          <w:type w:val="continuous"/>
          <w:pgSz w:w="12240" w:h="15840"/>
          <w:pgMar w:top="920" w:bottom="280" w:left="0" w:right="0"/>
          <w:cols w:num="2" w:equalWidth="0">
            <w:col w:w="5957" w:space="40"/>
            <w:col w:w="6243"/>
          </w:cols>
        </w:sectPr>
      </w:pPr>
    </w:p>
    <w:p>
      <w:pPr>
        <w:pStyle w:val="BodyText"/>
        <w:spacing w:before="6"/>
        <w:rPr>
          <w:sz w:val="18"/>
        </w:rPr>
      </w:pPr>
    </w:p>
    <w:p>
      <w:pPr>
        <w:pStyle w:val="BodyText"/>
        <w:tabs>
          <w:tab w:pos="6300" w:val="left" w:leader="none"/>
        </w:tabs>
        <w:ind w:left="1080"/>
      </w:pPr>
      <w:r>
        <w:rPr/>
        <w:pict>
          <v:group style="width:243pt;height:160.5pt;mso-position-horizontal-relative:char;mso-position-vertical-relative:line" coordorigin="0,0" coordsize="4860,3210">
            <v:shape style="position:absolute;left:0;top:0;width:4860;height:3210" type="#_x0000_t75" stroked="false">
              <v:imagedata r:id="rId180" o:title=""/>
            </v:shape>
            <v:shape style="position:absolute;left:4637;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A</w:t>
                    </w:r>
                  </w:p>
                </w:txbxContent>
              </v:textbox>
              <w10:wrap type="none"/>
            </v:shape>
          </v:group>
        </w:pict>
      </w:r>
      <w:r>
        <w:rPr/>
      </w:r>
      <w:r>
        <w:rPr/>
        <w:tab/>
      </w:r>
      <w:r>
        <w:rPr/>
        <w:pict>
          <v:group style="width:243pt;height:160.5pt;mso-position-horizontal-relative:char;mso-position-vertical-relative:line" coordorigin="0,0" coordsize="4860,3210">
            <v:shape style="position:absolute;left:0;top:0;width:4860;height:3210" type="#_x0000_t75" stroked="false">
              <v:imagedata r:id="rId181" o:title=""/>
            </v:shape>
            <v:shape style="position:absolute;left:4632;top:28;width:150;height:250" type="#_x0000_t202" filled="false" stroked="false">
              <v:textbox inset="0,0,0,0">
                <w:txbxContent>
                  <w:p>
                    <w:pPr>
                      <w:spacing w:before="13"/>
                      <w:ind w:left="0" w:right="0" w:firstLine="0"/>
                      <w:jc w:val="left"/>
                      <w:rPr>
                        <w:rFonts w:ascii="Arial"/>
                        <w:b/>
                        <w:sz w:val="18"/>
                      </w:rPr>
                    </w:pPr>
                    <w:r>
                      <w:rPr>
                        <w:rFonts w:ascii="Arial"/>
                        <w:b/>
                        <w:color w:val="FFFFFF"/>
                        <w:sz w:val="18"/>
                      </w:rPr>
                      <w:t>B</w:t>
                    </w:r>
                  </w:p>
                </w:txbxContent>
              </v:textbox>
              <w10:wrap type="none"/>
            </v:shape>
          </v:group>
        </w:pict>
      </w:r>
      <w:r>
        <w:rPr/>
      </w:r>
    </w:p>
    <w:p>
      <w:pPr>
        <w:pStyle w:val="BodyText"/>
        <w:spacing w:before="3"/>
        <w:rPr>
          <w:sz w:val="5"/>
        </w:rPr>
      </w:pPr>
      <w:r>
        <w:rPr/>
        <w:pict>
          <v:group style="position:absolute;margin-left:54pt;margin-top:4.998972pt;width:242.85pt;height:157.5pt;mso-position-horizontal-relative:page;mso-position-vertical-relative:paragraph;z-index:7048;mso-wrap-distance-left:0;mso-wrap-distance-right:0" coordorigin="1080,100" coordsize="4857,3150">
            <v:shape style="position:absolute;left:1080;top:99;width:4857;height:3150" type="#_x0000_t75" stroked="false">
              <v:imagedata r:id="rId182" o:title=""/>
            </v:shape>
            <v:shape style="position:absolute;left:5717;top:144;width:150;height:250" type="#_x0000_t202" filled="false" stroked="false">
              <v:textbox inset="0,0,0,0">
                <w:txbxContent>
                  <w:p>
                    <w:pPr>
                      <w:spacing w:before="13"/>
                      <w:ind w:left="0" w:right="0" w:firstLine="0"/>
                      <w:jc w:val="left"/>
                      <w:rPr>
                        <w:rFonts w:ascii="Arial"/>
                        <w:b/>
                        <w:sz w:val="18"/>
                      </w:rPr>
                    </w:pPr>
                    <w:r>
                      <w:rPr>
                        <w:rFonts w:ascii="Arial"/>
                        <w:b/>
                        <w:color w:val="231F20"/>
                        <w:sz w:val="18"/>
                      </w:rPr>
                      <w:t>C</w:t>
                    </w:r>
                  </w:p>
                </w:txbxContent>
              </v:textbox>
              <w10:wrap type="none"/>
            </v:shape>
            <w10:wrap type="topAndBottom"/>
          </v:group>
        </w:pict>
      </w:r>
      <w:r>
        <w:rPr/>
        <w:pict>
          <v:group style="position:absolute;margin-left:315pt;margin-top:4.998996pt;width:243pt;height:157.5pt;mso-position-horizontal-relative:page;mso-position-vertical-relative:paragraph;z-index:7096;mso-wrap-distance-left:0;mso-wrap-distance-right:0" coordorigin="6300,100" coordsize="4860,3150">
            <v:shape style="position:absolute;left:6300;top:99;width:4860;height:3150" type="#_x0000_t75" stroked="false">
              <v:imagedata r:id="rId183" o:title=""/>
            </v:shape>
            <v:shape style="position:absolute;left:10932;top:144;width:150;height:250" type="#_x0000_t202" filled="false" stroked="false">
              <v:textbox inset="0,0,0,0">
                <w:txbxContent>
                  <w:p>
                    <w:pPr>
                      <w:spacing w:before="13"/>
                      <w:ind w:left="0" w:right="0" w:firstLine="0"/>
                      <w:jc w:val="left"/>
                      <w:rPr>
                        <w:rFonts w:ascii="Arial"/>
                        <w:b/>
                        <w:sz w:val="18"/>
                      </w:rPr>
                    </w:pPr>
                    <w:r>
                      <w:rPr>
                        <w:rFonts w:ascii="Arial"/>
                        <w:b/>
                        <w:color w:val="FFFFFF"/>
                        <w:sz w:val="18"/>
                      </w:rPr>
                      <w:t>D</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after="0"/>
        <w:rPr>
          <w:sz w:val="18"/>
        </w:rPr>
        <w:sectPr>
          <w:pgSz w:w="12240" w:h="15840"/>
          <w:pgMar w:header="673" w:footer="779" w:top="1000" w:bottom="960" w:left="0" w:right="0"/>
        </w:sectPr>
      </w:pPr>
    </w:p>
    <w:p>
      <w:pPr>
        <w:pStyle w:val="BodyText"/>
        <w:spacing w:line="230" w:lineRule="auto" w:before="122"/>
        <w:ind w:left="1100" w:firstLine="216"/>
        <w:jc w:val="both"/>
      </w:pPr>
      <w:r>
        <w:rPr/>
        <w:pict>
          <v:group style="position:absolute;margin-left:54pt;margin-top:-65.811234pt;width:504pt;height:72.95pt;mso-position-horizontal-relative:page;mso-position-vertical-relative:paragraph;z-index:7144" coordorigin="1080,-1316" coordsize="10080,1459">
            <v:rect style="position:absolute;left:1080;top:-1284;width:10080;height:1426" filled="true" fillcolor="#ffffff" stroked="false">
              <v:fill type="solid"/>
            </v:rect>
            <v:shape style="position:absolute;left:1080;top:-1317;width:10080;height:1459" type="#_x0000_t202" filled="false" stroked="false">
              <v:textbox inset="0,0,0,0">
                <w:txbxContent>
                  <w:p>
                    <w:pPr>
                      <w:spacing w:line="230" w:lineRule="auto" w:before="20"/>
                      <w:ind w:left="20" w:right="17" w:hanging="1"/>
                      <w:jc w:val="both"/>
                      <w:rPr>
                        <w:sz w:val="16"/>
                      </w:rPr>
                    </w:pPr>
                    <w:r>
                      <w:rPr>
                        <w:b/>
                        <w:color w:val="231F20"/>
                        <w:sz w:val="16"/>
                      </w:rPr>
                      <w:t>F</w:t>
                    </w:r>
                    <w:r>
                      <w:rPr>
                        <w:b/>
                        <w:color w:val="231F20"/>
                        <w:sz w:val="16"/>
                        <w:vertAlign w:val="subscript"/>
                      </w:rPr>
                      <w:t>IGURE</w:t>
                    </w:r>
                    <w:r>
                      <w:rPr>
                        <w:b/>
                        <w:color w:val="231F20"/>
                        <w:spacing w:val="-16"/>
                        <w:sz w:val="16"/>
                        <w:vertAlign w:val="baseline"/>
                      </w:rPr>
                      <w:t> </w:t>
                    </w:r>
                    <w:r>
                      <w:rPr>
                        <w:b/>
                        <w:color w:val="231F20"/>
                        <w:sz w:val="16"/>
                        <w:vertAlign w:val="baseline"/>
                      </w:rPr>
                      <w:t>16.</w:t>
                    </w:r>
                    <w:r>
                      <w:rPr>
                        <w:b/>
                        <w:color w:val="231F20"/>
                        <w:spacing w:val="-8"/>
                        <w:sz w:val="16"/>
                        <w:vertAlign w:val="baseline"/>
                      </w:rPr>
                      <w:t> </w:t>
                    </w:r>
                    <w:r>
                      <w:rPr>
                        <w:b/>
                        <w:color w:val="231F20"/>
                        <w:sz w:val="16"/>
                        <w:vertAlign w:val="baseline"/>
                      </w:rPr>
                      <w:t>(A)</w:t>
                    </w:r>
                    <w:r>
                      <w:rPr>
                        <w:b/>
                        <w:color w:val="231F20"/>
                        <w:spacing w:val="-8"/>
                        <w:sz w:val="16"/>
                        <w:vertAlign w:val="baseline"/>
                      </w:rPr>
                      <w:t> </w:t>
                    </w:r>
                    <w:r>
                      <w:rPr>
                        <w:color w:val="231F20"/>
                        <w:sz w:val="16"/>
                        <w:vertAlign w:val="baseline"/>
                      </w:rPr>
                      <w:t>High-temperature</w:t>
                    </w:r>
                    <w:r>
                      <w:rPr>
                        <w:color w:val="231F20"/>
                        <w:spacing w:val="-8"/>
                        <w:sz w:val="16"/>
                        <w:vertAlign w:val="baseline"/>
                      </w:rPr>
                      <w:t> </w:t>
                    </w:r>
                    <w:r>
                      <w:rPr>
                        <w:color w:val="231F20"/>
                        <w:sz w:val="16"/>
                        <w:vertAlign w:val="baseline"/>
                      </w:rPr>
                      <w:t>hydrothermally</w:t>
                    </w:r>
                    <w:r>
                      <w:rPr>
                        <w:color w:val="231F20"/>
                        <w:spacing w:val="-8"/>
                        <w:sz w:val="16"/>
                        <w:vertAlign w:val="baseline"/>
                      </w:rPr>
                      <w:t> </w:t>
                    </w:r>
                    <w:r>
                      <w:rPr>
                        <w:color w:val="231F20"/>
                        <w:sz w:val="16"/>
                        <w:vertAlign w:val="baseline"/>
                      </w:rPr>
                      <w:t>altered</w:t>
                    </w:r>
                    <w:r>
                      <w:rPr>
                        <w:color w:val="231F20"/>
                        <w:spacing w:val="-8"/>
                        <w:sz w:val="16"/>
                        <w:vertAlign w:val="baseline"/>
                      </w:rPr>
                      <w:t> </w:t>
                    </w:r>
                    <w:r>
                      <w:rPr>
                        <w:color w:val="231F20"/>
                        <w:sz w:val="16"/>
                        <w:vertAlign w:val="baseline"/>
                      </w:rPr>
                      <w:t>mafic</w:t>
                    </w:r>
                    <w:r>
                      <w:rPr>
                        <w:color w:val="231F20"/>
                        <w:spacing w:val="-8"/>
                        <w:sz w:val="16"/>
                        <w:vertAlign w:val="baseline"/>
                      </w:rPr>
                      <w:t> </w:t>
                    </w:r>
                    <w:r>
                      <w:rPr>
                        <w:color w:val="231F20"/>
                        <w:sz w:val="16"/>
                        <w:vertAlign w:val="baseline"/>
                      </w:rPr>
                      <w:t>volcaniclastic</w:t>
                    </w:r>
                    <w:r>
                      <w:rPr>
                        <w:color w:val="231F20"/>
                        <w:spacing w:val="-8"/>
                        <w:sz w:val="16"/>
                        <w:vertAlign w:val="baseline"/>
                      </w:rPr>
                      <w:t> </w:t>
                    </w:r>
                    <w:r>
                      <w:rPr>
                        <w:color w:val="231F20"/>
                        <w:sz w:val="16"/>
                        <w:vertAlign w:val="baseline"/>
                      </w:rPr>
                      <w:t>turbidite</w:t>
                    </w:r>
                    <w:r>
                      <w:rPr>
                        <w:color w:val="231F20"/>
                        <w:spacing w:val="-8"/>
                        <w:sz w:val="16"/>
                        <w:vertAlign w:val="baseline"/>
                      </w:rPr>
                      <w:t> </w:t>
                    </w:r>
                    <w:r>
                      <w:rPr>
                        <w:color w:val="231F20"/>
                        <w:sz w:val="16"/>
                        <w:vertAlign w:val="baseline"/>
                      </w:rPr>
                      <w:t>(left)</w:t>
                    </w:r>
                    <w:r>
                      <w:rPr>
                        <w:color w:val="231F20"/>
                        <w:spacing w:val="-8"/>
                        <w:sz w:val="16"/>
                        <w:vertAlign w:val="baseline"/>
                      </w:rPr>
                      <w:t> </w:t>
                    </w:r>
                    <w:r>
                      <w:rPr>
                        <w:color w:val="231F20"/>
                        <w:sz w:val="16"/>
                        <w:vertAlign w:val="baseline"/>
                      </w:rPr>
                      <w:t>overlain</w:t>
                    </w:r>
                    <w:r>
                      <w:rPr>
                        <w:color w:val="231F20"/>
                        <w:spacing w:val="-8"/>
                        <w:sz w:val="16"/>
                        <w:vertAlign w:val="baseline"/>
                      </w:rPr>
                      <w:t> </w:t>
                    </w:r>
                    <w:r>
                      <w:rPr>
                        <w:color w:val="231F20"/>
                        <w:sz w:val="16"/>
                        <w:vertAlign w:val="baseline"/>
                      </w:rPr>
                      <w:t>by</w:t>
                    </w:r>
                    <w:r>
                      <w:rPr>
                        <w:color w:val="231F20"/>
                        <w:spacing w:val="-8"/>
                        <w:sz w:val="16"/>
                        <w:vertAlign w:val="baseline"/>
                      </w:rPr>
                      <w:t> </w:t>
                    </w:r>
                    <w:r>
                      <w:rPr>
                        <w:color w:val="231F20"/>
                        <w:sz w:val="16"/>
                        <w:vertAlign w:val="baseline"/>
                      </w:rPr>
                      <w:t>a</w:t>
                    </w:r>
                    <w:r>
                      <w:rPr>
                        <w:color w:val="231F20"/>
                        <w:spacing w:val="-8"/>
                        <w:sz w:val="16"/>
                        <w:vertAlign w:val="baseline"/>
                      </w:rPr>
                      <w:t> </w:t>
                    </w:r>
                    <w:r>
                      <w:rPr>
                        <w:color w:val="231F20"/>
                        <w:sz w:val="16"/>
                        <w:vertAlign w:val="baseline"/>
                      </w:rPr>
                      <w:t>strongly</w:t>
                    </w:r>
                    <w:r>
                      <w:rPr>
                        <w:color w:val="231F20"/>
                        <w:spacing w:val="-8"/>
                        <w:sz w:val="16"/>
                        <w:vertAlign w:val="baseline"/>
                      </w:rPr>
                      <w:t> </w:t>
                    </w:r>
                    <w:r>
                      <w:rPr>
                        <w:color w:val="231F20"/>
                        <w:sz w:val="16"/>
                        <w:vertAlign w:val="baseline"/>
                      </w:rPr>
                      <w:t>silicified</w:t>
                    </w:r>
                    <w:r>
                      <w:rPr>
                        <w:color w:val="231F20"/>
                        <w:spacing w:val="-8"/>
                        <w:sz w:val="16"/>
                        <w:vertAlign w:val="baseline"/>
                      </w:rPr>
                      <w:t> </w:t>
                    </w:r>
                    <w:r>
                      <w:rPr>
                        <w:color w:val="231F20"/>
                        <w:sz w:val="16"/>
                        <w:vertAlign w:val="baseline"/>
                      </w:rPr>
                      <w:t>mafic</w:t>
                    </w:r>
                    <w:r>
                      <w:rPr>
                        <w:color w:val="231F20"/>
                        <w:spacing w:val="-8"/>
                        <w:sz w:val="16"/>
                        <w:vertAlign w:val="baseline"/>
                      </w:rPr>
                      <w:t> </w:t>
                    </w:r>
                    <w:r>
                      <w:rPr>
                        <w:color w:val="231F20"/>
                        <w:sz w:val="16"/>
                        <w:vertAlign w:val="baseline"/>
                      </w:rPr>
                      <w:t>debris</w:t>
                    </w:r>
                    <w:r>
                      <w:rPr>
                        <w:color w:val="231F20"/>
                        <w:spacing w:val="-8"/>
                        <w:sz w:val="16"/>
                        <w:vertAlign w:val="baseline"/>
                      </w:rPr>
                      <w:t> </w:t>
                    </w:r>
                    <w:r>
                      <w:rPr>
                        <w:color w:val="231F20"/>
                        <w:sz w:val="16"/>
                        <w:vertAlign w:val="baseline"/>
                      </w:rPr>
                      <w:t>flow</w:t>
                    </w:r>
                    <w:r>
                      <w:rPr>
                        <w:color w:val="231F20"/>
                        <w:spacing w:val="-8"/>
                        <w:sz w:val="16"/>
                        <w:vertAlign w:val="baseline"/>
                      </w:rPr>
                      <w:t> </w:t>
                    </w:r>
                    <w:r>
                      <w:rPr>
                        <w:color w:val="231F20"/>
                        <w:sz w:val="16"/>
                        <w:vertAlign w:val="baseline"/>
                      </w:rPr>
                      <w:t>1200</w:t>
                    </w:r>
                    <w:r>
                      <w:rPr>
                        <w:color w:val="231F20"/>
                        <w:spacing w:val="-8"/>
                        <w:sz w:val="16"/>
                        <w:vertAlign w:val="baseline"/>
                      </w:rPr>
                      <w:t> </w:t>
                    </w:r>
                    <w:r>
                      <w:rPr>
                        <w:color w:val="231F20"/>
                        <w:sz w:val="16"/>
                        <w:vertAlign w:val="baseline"/>
                      </w:rPr>
                      <w:t>m</w:t>
                    </w:r>
                    <w:r>
                      <w:rPr>
                        <w:color w:val="231F20"/>
                        <w:spacing w:val="-8"/>
                        <w:sz w:val="16"/>
                        <w:vertAlign w:val="baseline"/>
                      </w:rPr>
                      <w:t> </w:t>
                    </w:r>
                    <w:r>
                      <w:rPr>
                        <w:color w:val="231F20"/>
                        <w:sz w:val="16"/>
                        <w:vertAlign w:val="baseline"/>
                      </w:rPr>
                      <w:t>below the</w:t>
                    </w:r>
                    <w:r>
                      <w:rPr>
                        <w:color w:val="231F20"/>
                        <w:spacing w:val="31"/>
                        <w:sz w:val="16"/>
                        <w:vertAlign w:val="baseline"/>
                      </w:rPr>
                      <w:t> </w:t>
                    </w:r>
                    <w:r>
                      <w:rPr>
                        <w:color w:val="231F20"/>
                        <w:sz w:val="16"/>
                        <w:vertAlign w:val="baseline"/>
                      </w:rPr>
                      <w:t>Chisel-Lost-Ghost</w:t>
                    </w:r>
                    <w:r>
                      <w:rPr>
                        <w:color w:val="231F20"/>
                        <w:spacing w:val="28"/>
                        <w:sz w:val="16"/>
                        <w:vertAlign w:val="baseline"/>
                      </w:rPr>
                      <w:t> </w:t>
                    </w:r>
                    <w:r>
                      <w:rPr>
                        <w:color w:val="231F20"/>
                        <w:sz w:val="16"/>
                        <w:vertAlign w:val="baseline"/>
                      </w:rPr>
                      <w:t>VMS</w:t>
                    </w:r>
                    <w:r>
                      <w:rPr>
                        <w:color w:val="231F20"/>
                        <w:spacing w:val="31"/>
                        <w:sz w:val="16"/>
                        <w:vertAlign w:val="baseline"/>
                      </w:rPr>
                      <w:t> </w:t>
                    </w:r>
                    <w:r>
                      <w:rPr>
                        <w:color w:val="231F20"/>
                        <w:sz w:val="16"/>
                        <w:vertAlign w:val="baseline"/>
                      </w:rPr>
                      <w:t>horizon,</w:t>
                    </w:r>
                    <w:r>
                      <w:rPr>
                        <w:color w:val="231F20"/>
                        <w:spacing w:val="31"/>
                        <w:sz w:val="16"/>
                        <w:vertAlign w:val="baseline"/>
                      </w:rPr>
                      <w:t> </w:t>
                    </w:r>
                    <w:r>
                      <w:rPr>
                        <w:color w:val="231F20"/>
                        <w:sz w:val="16"/>
                        <w:vertAlign w:val="baseline"/>
                      </w:rPr>
                      <w:t>Snow</w:t>
                    </w:r>
                    <w:r>
                      <w:rPr>
                        <w:color w:val="231F20"/>
                        <w:spacing w:val="31"/>
                        <w:sz w:val="16"/>
                        <w:vertAlign w:val="baseline"/>
                      </w:rPr>
                      <w:t> </w:t>
                    </w:r>
                    <w:r>
                      <w:rPr>
                        <w:color w:val="231F20"/>
                        <w:sz w:val="16"/>
                        <w:vertAlign w:val="baseline"/>
                      </w:rPr>
                      <w:t>Lake.</w:t>
                    </w:r>
                    <w:r>
                      <w:rPr>
                        <w:color w:val="231F20"/>
                        <w:spacing w:val="28"/>
                        <w:sz w:val="16"/>
                        <w:vertAlign w:val="baseline"/>
                      </w:rPr>
                      <w:t> </w:t>
                    </w:r>
                    <w:r>
                      <w:rPr>
                        <w:color w:val="231F20"/>
                        <w:sz w:val="16"/>
                        <w:vertAlign w:val="baseline"/>
                      </w:rPr>
                      <w:t>This</w:t>
                    </w:r>
                    <w:r>
                      <w:rPr>
                        <w:color w:val="231F20"/>
                        <w:spacing w:val="31"/>
                        <w:sz w:val="16"/>
                        <w:vertAlign w:val="baseline"/>
                      </w:rPr>
                      <w:t> </w:t>
                    </w:r>
                    <w:r>
                      <w:rPr>
                        <w:color w:val="231F20"/>
                        <w:sz w:val="16"/>
                        <w:vertAlign w:val="baseline"/>
                      </w:rPr>
                      <w:t>is</w:t>
                    </w:r>
                    <w:r>
                      <w:rPr>
                        <w:color w:val="231F20"/>
                        <w:spacing w:val="31"/>
                        <w:sz w:val="16"/>
                        <w:vertAlign w:val="baseline"/>
                      </w:rPr>
                      <w:t> </w:t>
                    </w:r>
                    <w:r>
                      <w:rPr>
                        <w:color w:val="231F20"/>
                        <w:sz w:val="16"/>
                        <w:vertAlign w:val="baseline"/>
                      </w:rPr>
                      <w:t>a</w:t>
                    </w:r>
                    <w:r>
                      <w:rPr>
                        <w:color w:val="231F20"/>
                        <w:spacing w:val="31"/>
                        <w:sz w:val="16"/>
                        <w:vertAlign w:val="baseline"/>
                      </w:rPr>
                      <w:t> </w:t>
                    </w:r>
                    <w:r>
                      <w:rPr>
                        <w:color w:val="231F20"/>
                        <w:sz w:val="16"/>
                        <w:vertAlign w:val="baseline"/>
                      </w:rPr>
                      <w:t>regional-scale</w:t>
                    </w:r>
                    <w:r>
                      <w:rPr>
                        <w:color w:val="231F20"/>
                        <w:spacing w:val="31"/>
                        <w:sz w:val="16"/>
                        <w:vertAlign w:val="baseline"/>
                      </w:rPr>
                      <w:t> </w:t>
                    </w:r>
                    <w:r>
                      <w:rPr>
                        <w:color w:val="231F20"/>
                        <w:sz w:val="16"/>
                        <w:vertAlign w:val="baseline"/>
                      </w:rPr>
                      <w:t>reaction</w:t>
                    </w:r>
                    <w:r>
                      <w:rPr>
                        <w:color w:val="231F20"/>
                        <w:spacing w:val="31"/>
                        <w:sz w:val="16"/>
                        <w:vertAlign w:val="baseline"/>
                      </w:rPr>
                      <w:t> </w:t>
                    </w:r>
                    <w:r>
                      <w:rPr>
                        <w:color w:val="231F20"/>
                        <w:sz w:val="16"/>
                        <w:vertAlign w:val="baseline"/>
                      </w:rPr>
                      <w:t>zone</w:t>
                    </w:r>
                    <w:r>
                      <w:rPr>
                        <w:color w:val="231F20"/>
                        <w:spacing w:val="31"/>
                        <w:sz w:val="16"/>
                        <w:vertAlign w:val="baseline"/>
                      </w:rPr>
                      <w:t> </w:t>
                    </w:r>
                    <w:r>
                      <w:rPr>
                        <w:color w:val="231F20"/>
                        <w:sz w:val="16"/>
                        <w:vertAlign w:val="baseline"/>
                      </w:rPr>
                      <w:t>overlain</w:t>
                    </w:r>
                    <w:r>
                      <w:rPr>
                        <w:color w:val="231F20"/>
                        <w:spacing w:val="31"/>
                        <w:sz w:val="16"/>
                        <w:vertAlign w:val="baseline"/>
                      </w:rPr>
                      <w:t> </w:t>
                    </w:r>
                    <w:r>
                      <w:rPr>
                        <w:color w:val="231F20"/>
                        <w:sz w:val="16"/>
                        <w:vertAlign w:val="baseline"/>
                      </w:rPr>
                      <w:t>by</w:t>
                    </w:r>
                    <w:r>
                      <w:rPr>
                        <w:color w:val="231F20"/>
                        <w:spacing w:val="31"/>
                        <w:sz w:val="16"/>
                        <w:vertAlign w:val="baseline"/>
                      </w:rPr>
                      <w:t> </w:t>
                    </w:r>
                    <w:r>
                      <w:rPr>
                        <w:color w:val="231F20"/>
                        <w:sz w:val="16"/>
                        <w:vertAlign w:val="baseline"/>
                      </w:rPr>
                      <w:t>a</w:t>
                    </w:r>
                    <w:r>
                      <w:rPr>
                        <w:color w:val="231F20"/>
                        <w:spacing w:val="31"/>
                        <w:sz w:val="16"/>
                        <w:vertAlign w:val="baseline"/>
                      </w:rPr>
                      <w:t> </w:t>
                    </w:r>
                    <w:r>
                      <w:rPr>
                        <w:color w:val="231F20"/>
                        <w:sz w:val="16"/>
                        <w:vertAlign w:val="baseline"/>
                      </w:rPr>
                      <w:t>high-temperature</w:t>
                    </w:r>
                    <w:r>
                      <w:rPr>
                        <w:color w:val="231F20"/>
                        <w:spacing w:val="31"/>
                        <w:sz w:val="16"/>
                        <w:vertAlign w:val="baseline"/>
                      </w:rPr>
                      <w:t> </w:t>
                    </w:r>
                    <w:r>
                      <w:rPr>
                        <w:color w:val="231F20"/>
                        <w:sz w:val="16"/>
                        <w:vertAlign w:val="baseline"/>
                      </w:rPr>
                      <w:t>zone</w:t>
                    </w:r>
                    <w:r>
                      <w:rPr>
                        <w:color w:val="231F20"/>
                        <w:spacing w:val="31"/>
                        <w:sz w:val="16"/>
                        <w:vertAlign w:val="baseline"/>
                      </w:rPr>
                      <w:t> </w:t>
                    </w:r>
                    <w:r>
                      <w:rPr>
                        <w:color w:val="231F20"/>
                        <w:sz w:val="16"/>
                        <w:vertAlign w:val="baseline"/>
                      </w:rPr>
                      <w:t>of</w:t>
                    </w:r>
                    <w:r>
                      <w:rPr>
                        <w:color w:val="231F20"/>
                        <w:spacing w:val="31"/>
                        <w:sz w:val="16"/>
                        <w:vertAlign w:val="baseline"/>
                      </w:rPr>
                      <w:t> </w:t>
                    </w:r>
                    <w:r>
                      <w:rPr>
                        <w:color w:val="231F20"/>
                        <w:sz w:val="16"/>
                        <w:vertAlign w:val="baseline"/>
                      </w:rPr>
                      <w:t>silica</w:t>
                    </w:r>
                    <w:r>
                      <w:rPr>
                        <w:color w:val="231F20"/>
                        <w:spacing w:val="31"/>
                        <w:sz w:val="16"/>
                        <w:vertAlign w:val="baseline"/>
                      </w:rPr>
                      <w:t> </w:t>
                    </w:r>
                    <w:r>
                      <w:rPr>
                        <w:color w:val="231F20"/>
                        <w:sz w:val="16"/>
                        <w:vertAlign w:val="baseline"/>
                      </w:rPr>
                      <w:t>precipitation.</w:t>
                    </w:r>
                  </w:p>
                  <w:p>
                    <w:pPr>
                      <w:spacing w:line="230" w:lineRule="auto" w:before="0"/>
                      <w:ind w:left="20" w:right="16" w:firstLine="0"/>
                      <w:jc w:val="both"/>
                      <w:rPr>
                        <w:sz w:val="16"/>
                      </w:rPr>
                    </w:pPr>
                    <w:r>
                      <w:rPr>
                        <w:b/>
                        <w:color w:val="231F20"/>
                        <w:sz w:val="16"/>
                      </w:rPr>
                      <w:t>(B)</w:t>
                    </w:r>
                    <w:r>
                      <w:rPr>
                        <w:b/>
                        <w:color w:val="231F20"/>
                        <w:spacing w:val="-7"/>
                        <w:sz w:val="16"/>
                      </w:rPr>
                      <w:t> </w:t>
                    </w:r>
                    <w:r>
                      <w:rPr>
                        <w:color w:val="231F20"/>
                        <w:sz w:val="16"/>
                      </w:rPr>
                      <w:t>Strongly</w:t>
                    </w:r>
                    <w:r>
                      <w:rPr>
                        <w:color w:val="231F20"/>
                        <w:spacing w:val="-7"/>
                        <w:sz w:val="16"/>
                      </w:rPr>
                      <w:t> </w:t>
                    </w:r>
                    <w:r>
                      <w:rPr>
                        <w:color w:val="231F20"/>
                        <w:sz w:val="16"/>
                      </w:rPr>
                      <w:t>silicified</w:t>
                    </w:r>
                    <w:r>
                      <w:rPr>
                        <w:color w:val="231F20"/>
                        <w:spacing w:val="-7"/>
                        <w:sz w:val="16"/>
                      </w:rPr>
                      <w:t> </w:t>
                    </w:r>
                    <w:r>
                      <w:rPr>
                        <w:color w:val="231F20"/>
                        <w:sz w:val="16"/>
                      </w:rPr>
                      <w:t>pillows</w:t>
                    </w:r>
                    <w:r>
                      <w:rPr>
                        <w:color w:val="231F20"/>
                        <w:spacing w:val="-7"/>
                        <w:sz w:val="16"/>
                      </w:rPr>
                      <w:t> </w:t>
                    </w:r>
                    <w:r>
                      <w:rPr>
                        <w:color w:val="231F20"/>
                        <w:sz w:val="16"/>
                      </w:rPr>
                      <w:t>with</w:t>
                    </w:r>
                    <w:r>
                      <w:rPr>
                        <w:color w:val="231F20"/>
                        <w:spacing w:val="-7"/>
                        <w:sz w:val="16"/>
                      </w:rPr>
                      <w:t> </w:t>
                    </w:r>
                    <w:r>
                      <w:rPr>
                        <w:color w:val="231F20"/>
                        <w:sz w:val="16"/>
                      </w:rPr>
                      <w:t>pipe</w:t>
                    </w:r>
                    <w:r>
                      <w:rPr>
                        <w:color w:val="231F20"/>
                        <w:spacing w:val="-7"/>
                        <w:sz w:val="16"/>
                      </w:rPr>
                      <w:t> </w:t>
                    </w:r>
                    <w:r>
                      <w:rPr>
                        <w:color w:val="231F20"/>
                        <w:sz w:val="16"/>
                      </w:rPr>
                      <w:t>vesicles</w:t>
                    </w:r>
                    <w:r>
                      <w:rPr>
                        <w:color w:val="231F20"/>
                        <w:spacing w:val="-7"/>
                        <w:sz w:val="16"/>
                      </w:rPr>
                      <w:t> </w:t>
                    </w:r>
                    <w:r>
                      <w:rPr>
                        <w:color w:val="231F20"/>
                        <w:sz w:val="16"/>
                      </w:rPr>
                      <w:t>infilled</w:t>
                    </w:r>
                    <w:r>
                      <w:rPr>
                        <w:color w:val="231F20"/>
                        <w:spacing w:val="-7"/>
                        <w:sz w:val="16"/>
                      </w:rPr>
                      <w:t> </w:t>
                    </w:r>
                    <w:r>
                      <w:rPr>
                        <w:color w:val="231F20"/>
                        <w:sz w:val="16"/>
                      </w:rPr>
                      <w:t>with</w:t>
                    </w:r>
                    <w:r>
                      <w:rPr>
                        <w:color w:val="231F20"/>
                        <w:spacing w:val="-7"/>
                        <w:sz w:val="16"/>
                      </w:rPr>
                      <w:t> </w:t>
                    </w:r>
                    <w:r>
                      <w:rPr>
                        <w:color w:val="231F20"/>
                        <w:sz w:val="16"/>
                      </w:rPr>
                      <w:t>actinolite,</w:t>
                    </w:r>
                    <w:r>
                      <w:rPr>
                        <w:color w:val="231F20"/>
                        <w:spacing w:val="-7"/>
                        <w:sz w:val="16"/>
                      </w:rPr>
                      <w:t> </w:t>
                    </w:r>
                    <w:r>
                      <w:rPr>
                        <w:color w:val="231F20"/>
                        <w:sz w:val="16"/>
                      </w:rPr>
                      <w:t>epidote,</w:t>
                    </w:r>
                    <w:r>
                      <w:rPr>
                        <w:color w:val="231F20"/>
                        <w:spacing w:val="-7"/>
                        <w:sz w:val="16"/>
                      </w:rPr>
                      <w:t> </w:t>
                    </w:r>
                    <w:r>
                      <w:rPr>
                        <w:color w:val="231F20"/>
                        <w:sz w:val="16"/>
                      </w:rPr>
                      <w:t>and</w:t>
                    </w:r>
                    <w:r>
                      <w:rPr>
                        <w:color w:val="231F20"/>
                        <w:spacing w:val="-7"/>
                        <w:sz w:val="16"/>
                      </w:rPr>
                      <w:t> </w:t>
                    </w:r>
                    <w:r>
                      <w:rPr>
                        <w:color w:val="231F20"/>
                        <w:sz w:val="16"/>
                      </w:rPr>
                      <w:t>magnetite,</w:t>
                    </w:r>
                    <w:r>
                      <w:rPr>
                        <w:color w:val="231F20"/>
                        <w:spacing w:val="-7"/>
                        <w:sz w:val="16"/>
                      </w:rPr>
                      <w:t> </w:t>
                    </w:r>
                    <w:r>
                      <w:rPr>
                        <w:color w:val="231F20"/>
                        <w:sz w:val="16"/>
                      </w:rPr>
                      <w:t>and</w:t>
                    </w:r>
                    <w:r>
                      <w:rPr>
                        <w:color w:val="231F20"/>
                        <w:spacing w:val="-7"/>
                        <w:sz w:val="16"/>
                      </w:rPr>
                      <w:t> </w:t>
                    </w:r>
                    <w:r>
                      <w:rPr>
                        <w:color w:val="231F20"/>
                        <w:sz w:val="16"/>
                      </w:rPr>
                      <w:t>interpillow</w:t>
                    </w:r>
                    <w:r>
                      <w:rPr>
                        <w:color w:val="231F20"/>
                        <w:spacing w:val="-7"/>
                        <w:sz w:val="16"/>
                      </w:rPr>
                      <w:t> </w:t>
                    </w:r>
                    <w:r>
                      <w:rPr>
                        <w:color w:val="231F20"/>
                        <w:sz w:val="16"/>
                      </w:rPr>
                      <w:t>hyaloclastite</w:t>
                    </w:r>
                    <w:r>
                      <w:rPr>
                        <w:color w:val="231F20"/>
                        <w:spacing w:val="-9"/>
                        <w:sz w:val="16"/>
                      </w:rPr>
                      <w:t> </w:t>
                    </w:r>
                    <w:r>
                      <w:rPr>
                        <w:color w:val="231F20"/>
                        <w:sz w:val="16"/>
                      </w:rPr>
                      <w:t>completely</w:t>
                    </w:r>
                    <w:r>
                      <w:rPr>
                        <w:color w:val="231F20"/>
                        <w:spacing w:val="-7"/>
                        <w:sz w:val="16"/>
                      </w:rPr>
                      <w:t> </w:t>
                    </w:r>
                    <w:r>
                      <w:rPr>
                        <w:color w:val="231F20"/>
                        <w:sz w:val="16"/>
                      </w:rPr>
                      <w:t>replaced</w:t>
                    </w:r>
                    <w:r>
                      <w:rPr>
                        <w:color w:val="231F20"/>
                        <w:spacing w:val="-7"/>
                        <w:sz w:val="16"/>
                      </w:rPr>
                      <w:t> </w:t>
                    </w:r>
                    <w:r>
                      <w:rPr>
                        <w:color w:val="231F20"/>
                        <w:sz w:val="16"/>
                      </w:rPr>
                      <w:t>by</w:t>
                    </w:r>
                    <w:r>
                      <w:rPr>
                        <w:color w:val="231F20"/>
                        <w:spacing w:val="-7"/>
                        <w:sz w:val="16"/>
                      </w:rPr>
                      <w:t> </w:t>
                    </w:r>
                    <w:r>
                      <w:rPr>
                        <w:color w:val="231F20"/>
                        <w:sz w:val="16"/>
                      </w:rPr>
                      <w:t>the</w:t>
                    </w:r>
                    <w:r>
                      <w:rPr>
                        <w:color w:val="231F20"/>
                        <w:spacing w:val="-7"/>
                        <w:sz w:val="16"/>
                      </w:rPr>
                      <w:t> </w:t>
                    </w:r>
                    <w:r>
                      <w:rPr>
                        <w:color w:val="231F20"/>
                        <w:sz w:val="16"/>
                      </w:rPr>
                      <w:t>same assemblage. This alteration facies directly overlies the subvolcanic Mooshla intrusion, Bousquet VMS camp, Quebec. </w:t>
                    </w:r>
                    <w:r>
                      <w:rPr>
                        <w:b/>
                        <w:color w:val="231F20"/>
                        <w:sz w:val="16"/>
                      </w:rPr>
                      <w:t>(C) </w:t>
                    </w:r>
                    <w:r>
                      <w:rPr>
                        <w:color w:val="231F20"/>
                        <w:sz w:val="16"/>
                      </w:rPr>
                      <w:t>Epidosite typical of the root zones of VMS hydrothermal upflow zones in which high fluid/rock ratios have resulted in leaching of lithophile, chalcophile, and low field strength elements from the</w:t>
                    </w:r>
                    <w:r>
                      <w:rPr>
                        <w:color w:val="231F20"/>
                        <w:spacing w:val="-3"/>
                        <w:sz w:val="16"/>
                      </w:rPr>
                      <w:t> </w:t>
                    </w:r>
                    <w:r>
                      <w:rPr>
                        <w:color w:val="231F20"/>
                        <w:sz w:val="16"/>
                      </w:rPr>
                      <w:t>strata.</w:t>
                    </w:r>
                    <w:r>
                      <w:rPr>
                        <w:color w:val="231F20"/>
                        <w:spacing w:val="-3"/>
                        <w:sz w:val="16"/>
                      </w:rPr>
                      <w:t> </w:t>
                    </w:r>
                    <w:r>
                      <w:rPr>
                        <w:b/>
                        <w:color w:val="231F20"/>
                        <w:sz w:val="16"/>
                      </w:rPr>
                      <w:t>(D)</w:t>
                    </w:r>
                    <w:r>
                      <w:rPr>
                        <w:b/>
                        <w:color w:val="231F20"/>
                        <w:spacing w:val="-3"/>
                        <w:sz w:val="16"/>
                      </w:rPr>
                      <w:t> </w:t>
                    </w:r>
                    <w:r>
                      <w:rPr>
                        <w:color w:val="231F20"/>
                        <w:sz w:val="16"/>
                      </w:rPr>
                      <w:t>Chloritoid-rich</w:t>
                    </w:r>
                    <w:r>
                      <w:rPr>
                        <w:color w:val="231F20"/>
                        <w:spacing w:val="-3"/>
                        <w:sz w:val="16"/>
                      </w:rPr>
                      <w:t> </w:t>
                    </w:r>
                    <w:r>
                      <w:rPr>
                        <w:color w:val="231F20"/>
                        <w:sz w:val="16"/>
                      </w:rPr>
                      <w:t>zone</w:t>
                    </w:r>
                    <w:r>
                      <w:rPr>
                        <w:color w:val="231F20"/>
                        <w:spacing w:val="-3"/>
                        <w:sz w:val="16"/>
                      </w:rPr>
                      <w:t> </w:t>
                    </w:r>
                    <w:r>
                      <w:rPr>
                        <w:color w:val="231F20"/>
                        <w:sz w:val="16"/>
                      </w:rPr>
                      <w:t>below</w:t>
                    </w:r>
                    <w:r>
                      <w:rPr>
                        <w:color w:val="231F20"/>
                        <w:spacing w:val="-3"/>
                        <w:sz w:val="16"/>
                      </w:rPr>
                      <w:t> </w:t>
                    </w:r>
                    <w:r>
                      <w:rPr>
                        <w:color w:val="231F20"/>
                        <w:sz w:val="16"/>
                      </w:rPr>
                      <w:t>the</w:t>
                    </w:r>
                    <w:r>
                      <w:rPr>
                        <w:color w:val="231F20"/>
                        <w:spacing w:val="-3"/>
                        <w:sz w:val="16"/>
                      </w:rPr>
                      <w:t> </w:t>
                    </w:r>
                    <w:r>
                      <w:rPr>
                        <w:color w:val="231F20"/>
                        <w:sz w:val="16"/>
                      </w:rPr>
                      <w:t>Mattabi</w:t>
                    </w:r>
                    <w:r>
                      <w:rPr>
                        <w:color w:val="231F20"/>
                        <w:spacing w:val="-3"/>
                        <w:sz w:val="16"/>
                      </w:rPr>
                      <w:t> </w:t>
                    </w:r>
                    <w:r>
                      <w:rPr>
                        <w:color w:val="231F20"/>
                        <w:sz w:val="16"/>
                      </w:rPr>
                      <w:t>deposit,</w:t>
                    </w:r>
                    <w:r>
                      <w:rPr>
                        <w:color w:val="231F20"/>
                        <w:spacing w:val="-3"/>
                        <w:sz w:val="16"/>
                      </w:rPr>
                      <w:t> </w:t>
                    </w:r>
                    <w:r>
                      <w:rPr>
                        <w:color w:val="231F20"/>
                        <w:sz w:val="16"/>
                      </w:rPr>
                      <w:t>Sturgeon</w:t>
                    </w:r>
                    <w:r>
                      <w:rPr>
                        <w:color w:val="231F20"/>
                        <w:spacing w:val="-3"/>
                        <w:sz w:val="16"/>
                      </w:rPr>
                      <w:t> </w:t>
                    </w:r>
                    <w:r>
                      <w:rPr>
                        <w:color w:val="231F20"/>
                        <w:sz w:val="16"/>
                      </w:rPr>
                      <w:t>Lake,</w:t>
                    </w:r>
                    <w:r>
                      <w:rPr>
                        <w:color w:val="231F20"/>
                        <w:spacing w:val="-3"/>
                        <w:sz w:val="16"/>
                      </w:rPr>
                      <w:t> </w:t>
                    </w:r>
                    <w:r>
                      <w:rPr>
                        <w:color w:val="231F20"/>
                        <w:sz w:val="16"/>
                      </w:rPr>
                      <w:t>where</w:t>
                    </w:r>
                    <w:r>
                      <w:rPr>
                        <w:color w:val="231F20"/>
                        <w:spacing w:val="-3"/>
                        <w:sz w:val="16"/>
                      </w:rPr>
                      <w:t> </w:t>
                    </w:r>
                    <w:r>
                      <w:rPr>
                        <w:color w:val="231F20"/>
                        <w:sz w:val="16"/>
                      </w:rPr>
                      <w:t>Fe-rich</w:t>
                    </w:r>
                    <w:r>
                      <w:rPr>
                        <w:color w:val="231F20"/>
                        <w:spacing w:val="-3"/>
                        <w:sz w:val="16"/>
                      </w:rPr>
                      <w:t> </w:t>
                    </w:r>
                    <w:r>
                      <w:rPr>
                        <w:color w:val="231F20"/>
                        <w:sz w:val="16"/>
                      </w:rPr>
                      <w:t>hydrothermal</w:t>
                    </w:r>
                    <w:r>
                      <w:rPr>
                        <w:color w:val="231F20"/>
                        <w:spacing w:val="-3"/>
                        <w:sz w:val="16"/>
                      </w:rPr>
                      <w:t> </w:t>
                    </w:r>
                    <w:r>
                      <w:rPr>
                        <w:color w:val="231F20"/>
                        <w:sz w:val="16"/>
                      </w:rPr>
                      <w:t>fluids</w:t>
                    </w:r>
                    <w:r>
                      <w:rPr>
                        <w:color w:val="231F20"/>
                        <w:spacing w:val="-3"/>
                        <w:sz w:val="16"/>
                      </w:rPr>
                      <w:t> </w:t>
                    </w:r>
                    <w:r>
                      <w:rPr>
                        <w:color w:val="231F20"/>
                        <w:sz w:val="16"/>
                      </w:rPr>
                      <w:t>overprinted</w:t>
                    </w:r>
                    <w:r>
                      <w:rPr>
                        <w:color w:val="231F20"/>
                        <w:spacing w:val="-3"/>
                        <w:sz w:val="16"/>
                      </w:rPr>
                      <w:t> </w:t>
                    </w:r>
                    <w:r>
                      <w:rPr>
                        <w:color w:val="231F20"/>
                        <w:sz w:val="16"/>
                      </w:rPr>
                      <w:t>a</w:t>
                    </w:r>
                    <w:r>
                      <w:rPr>
                        <w:color w:val="231F20"/>
                        <w:spacing w:val="-3"/>
                        <w:sz w:val="16"/>
                      </w:rPr>
                      <w:t> </w:t>
                    </w:r>
                    <w:r>
                      <w:rPr>
                        <w:color w:val="231F20"/>
                        <w:sz w:val="16"/>
                      </w:rPr>
                      <w:t>previously</w:t>
                    </w:r>
                    <w:r>
                      <w:rPr>
                        <w:color w:val="231F20"/>
                        <w:spacing w:val="-3"/>
                        <w:sz w:val="16"/>
                      </w:rPr>
                      <w:t> </w:t>
                    </w:r>
                    <w:r>
                      <w:rPr>
                        <w:color w:val="231F20"/>
                        <w:sz w:val="16"/>
                      </w:rPr>
                      <w:t>formed</w:t>
                    </w:r>
                    <w:r>
                      <w:rPr>
                        <w:color w:val="231F20"/>
                        <w:spacing w:val="-3"/>
                        <w:sz w:val="16"/>
                      </w:rPr>
                      <w:t> </w:t>
                    </w:r>
                    <w:r>
                      <w:rPr>
                        <w:color w:val="231F20"/>
                        <w:sz w:val="16"/>
                      </w:rPr>
                      <w:t>carbonate- rich regional alteration</w:t>
                    </w:r>
                    <w:r>
                      <w:rPr>
                        <w:color w:val="231F20"/>
                        <w:spacing w:val="8"/>
                        <w:sz w:val="16"/>
                      </w:rPr>
                      <w:t> </w:t>
                    </w:r>
                    <w:r>
                      <w:rPr>
                        <w:color w:val="231F20"/>
                        <w:sz w:val="16"/>
                      </w:rPr>
                      <w:t>zone.</w:t>
                    </w:r>
                  </w:p>
                </w:txbxContent>
              </v:textbox>
              <w10:wrap type="none"/>
            </v:shape>
            <w10:wrap type="none"/>
          </v:group>
        </w:pict>
      </w:r>
      <w:r>
        <w:rPr>
          <w:color w:val="231F20"/>
        </w:rPr>
        <w:t>Mafic, felsic, and bimodal siliciclastic volcanic assem- blages tend to host volumetrically smaller mafic and/or fel- sic sill-dyke complexes, and generally contain Zn-Cu-Co and</w:t>
      </w:r>
      <w:r>
        <w:rPr>
          <w:color w:val="231F20"/>
          <w:spacing w:val="-11"/>
        </w:rPr>
        <w:t> </w:t>
      </w:r>
      <w:r>
        <w:rPr>
          <w:color w:val="231F20"/>
        </w:rPr>
        <w:t>Zn-Pb-Cu-Ag</w:t>
      </w:r>
      <w:r>
        <w:rPr>
          <w:color w:val="231F20"/>
          <w:spacing w:val="-14"/>
        </w:rPr>
        <w:t> </w:t>
      </w:r>
      <w:r>
        <w:rPr>
          <w:color w:val="231F20"/>
        </w:rPr>
        <w:t>VMS</w:t>
      </w:r>
      <w:r>
        <w:rPr>
          <w:color w:val="231F20"/>
          <w:spacing w:val="-11"/>
        </w:rPr>
        <w:t> </w:t>
      </w:r>
      <w:r>
        <w:rPr>
          <w:color w:val="231F20"/>
        </w:rPr>
        <w:t>deposits,</w:t>
      </w:r>
      <w:r>
        <w:rPr>
          <w:color w:val="231F20"/>
          <w:spacing w:val="-11"/>
        </w:rPr>
        <w:t> </w:t>
      </w:r>
      <w:r>
        <w:rPr>
          <w:color w:val="231F20"/>
        </w:rPr>
        <w:t>respectively.</w:t>
      </w:r>
      <w:r>
        <w:rPr>
          <w:color w:val="231F20"/>
          <w:spacing w:val="-11"/>
        </w:rPr>
        <w:t> </w:t>
      </w:r>
      <w:r>
        <w:rPr>
          <w:color w:val="231F20"/>
        </w:rPr>
        <w:t>More</w:t>
      </w:r>
      <w:r>
        <w:rPr>
          <w:color w:val="231F20"/>
          <w:spacing w:val="-11"/>
        </w:rPr>
        <w:t> </w:t>
      </w:r>
      <w:r>
        <w:rPr>
          <w:color w:val="231F20"/>
        </w:rPr>
        <w:t>Cu-rich deposits,</w:t>
      </w:r>
      <w:r>
        <w:rPr>
          <w:color w:val="231F20"/>
          <w:spacing w:val="-10"/>
        </w:rPr>
        <w:t> </w:t>
      </w:r>
      <w:r>
        <w:rPr>
          <w:color w:val="231F20"/>
        </w:rPr>
        <w:t>such</w:t>
      </w:r>
      <w:r>
        <w:rPr>
          <w:color w:val="231F20"/>
          <w:spacing w:val="-10"/>
        </w:rPr>
        <w:t> </w:t>
      </w:r>
      <w:r>
        <w:rPr>
          <w:color w:val="231F20"/>
        </w:rPr>
        <w:t>as</w:t>
      </w:r>
      <w:r>
        <w:rPr>
          <w:color w:val="231F20"/>
          <w:spacing w:val="-9"/>
        </w:rPr>
        <w:t> </w:t>
      </w:r>
      <w:r>
        <w:rPr>
          <w:color w:val="231F20"/>
        </w:rPr>
        <w:t>Neves</w:t>
      </w:r>
      <w:r>
        <w:rPr>
          <w:color w:val="231F20"/>
          <w:spacing w:val="-10"/>
        </w:rPr>
        <w:t> </w:t>
      </w:r>
      <w:r>
        <w:rPr>
          <w:color w:val="231F20"/>
        </w:rPr>
        <w:t>Corvo</w:t>
      </w:r>
      <w:r>
        <w:rPr>
          <w:color w:val="231F20"/>
          <w:spacing w:val="-10"/>
        </w:rPr>
        <w:t> </w:t>
      </w:r>
      <w:r>
        <w:rPr>
          <w:color w:val="231F20"/>
        </w:rPr>
        <w:t>in</w:t>
      </w:r>
      <w:r>
        <w:rPr>
          <w:color w:val="231F20"/>
          <w:spacing w:val="-9"/>
        </w:rPr>
        <w:t> </w:t>
      </w:r>
      <w:r>
        <w:rPr>
          <w:color w:val="231F20"/>
        </w:rPr>
        <w:t>the</w:t>
      </w:r>
      <w:r>
        <w:rPr>
          <w:color w:val="231F20"/>
          <w:spacing w:val="-9"/>
        </w:rPr>
        <w:t> </w:t>
      </w:r>
      <w:r>
        <w:rPr>
          <w:color w:val="231F20"/>
        </w:rPr>
        <w:t>Iberian</w:t>
      </w:r>
      <w:r>
        <w:rPr>
          <w:color w:val="231F20"/>
          <w:spacing w:val="-10"/>
        </w:rPr>
        <w:t> </w:t>
      </w:r>
      <w:r>
        <w:rPr>
          <w:color w:val="231F20"/>
        </w:rPr>
        <w:t>Pyrite</w:t>
      </w:r>
      <w:r>
        <w:rPr>
          <w:color w:val="231F20"/>
          <w:spacing w:val="-10"/>
        </w:rPr>
        <w:t> </w:t>
      </w:r>
      <w:r>
        <w:rPr>
          <w:color w:val="231F20"/>
        </w:rPr>
        <w:t>Belt,</w:t>
      </w:r>
      <w:r>
        <w:rPr>
          <w:color w:val="231F20"/>
          <w:spacing w:val="-10"/>
        </w:rPr>
        <w:t> </w:t>
      </w:r>
      <w:r>
        <w:rPr>
          <w:color w:val="231F20"/>
        </w:rPr>
        <w:t>may also be present in settings proximal to discrete extrusive complexes. The district-scale semiconformable hydrother- mal systems consist of low-temperature mineral assem- blages, with Mg-K smectite and K-feldspar alteration over- </w:t>
      </w:r>
      <w:r>
        <w:rPr>
          <w:color w:val="231F20"/>
          <w:spacing w:val="1"/>
        </w:rPr>
        <w:t>lain </w:t>
      </w:r>
      <w:r>
        <w:rPr>
          <w:color w:val="231F20"/>
        </w:rPr>
        <w:t>by </w:t>
      </w:r>
      <w:r>
        <w:rPr>
          <w:color w:val="231F20"/>
          <w:spacing w:val="1"/>
        </w:rPr>
        <w:t>extensive units </w:t>
      </w:r>
      <w:r>
        <w:rPr>
          <w:color w:val="231F20"/>
        </w:rPr>
        <w:t>of </w:t>
      </w:r>
      <w:r>
        <w:rPr>
          <w:color w:val="231F20"/>
          <w:spacing w:val="1"/>
        </w:rPr>
        <w:t>low-temperature </w:t>
      </w:r>
      <w:r>
        <w:rPr>
          <w:color w:val="231F20"/>
        </w:rPr>
        <w:t>Fe-Si-Mn deposits. Other types of iron formation in VMS districts are interpreted to be products of plume fallout from high-tem- perature hydrothermal venting, or collection of hypersaline brines within fault-controlled depressions on the seafloor (Peter, 2003). Iron formation horizons can extend for tens of kilometres, as in the Bathurst VMS camp in New</w:t>
      </w:r>
      <w:r>
        <w:rPr>
          <w:color w:val="231F20"/>
          <w:spacing w:val="-25"/>
        </w:rPr>
        <w:t> </w:t>
      </w:r>
      <w:r>
        <w:rPr>
          <w:color w:val="231F20"/>
        </w:rPr>
        <w:t>Brunswick </w:t>
      </w:r>
      <w:r>
        <w:rPr>
          <w:color w:val="231F20"/>
          <w:spacing w:val="-3"/>
        </w:rPr>
        <w:t>(Peter</w:t>
      </w:r>
      <w:r>
        <w:rPr>
          <w:color w:val="231F20"/>
          <w:spacing w:val="-14"/>
        </w:rPr>
        <w:t> </w:t>
      </w:r>
      <w:r>
        <w:rPr>
          <w:color w:val="231F20"/>
        </w:rPr>
        <w:t>and</w:t>
      </w:r>
      <w:r>
        <w:rPr>
          <w:color w:val="231F20"/>
          <w:spacing w:val="-14"/>
        </w:rPr>
        <w:t> </w:t>
      </w:r>
      <w:r>
        <w:rPr>
          <w:color w:val="231F20"/>
          <w:spacing w:val="-4"/>
        </w:rPr>
        <w:t>Goodfellow,</w:t>
      </w:r>
      <w:r>
        <w:rPr>
          <w:color w:val="231F20"/>
          <w:spacing w:val="-14"/>
        </w:rPr>
        <w:t> </w:t>
      </w:r>
      <w:r>
        <w:rPr>
          <w:color w:val="231F20"/>
        </w:rPr>
        <w:t>1996)</w:t>
      </w:r>
      <w:r>
        <w:rPr>
          <w:color w:val="231F20"/>
          <w:spacing w:val="-14"/>
        </w:rPr>
        <w:t> </w:t>
      </w:r>
      <w:r>
        <w:rPr>
          <w:color w:val="231F20"/>
          <w:spacing w:val="-3"/>
        </w:rPr>
        <w:t>(Fig.</w:t>
      </w:r>
      <w:r>
        <w:rPr>
          <w:color w:val="231F20"/>
          <w:spacing w:val="-14"/>
        </w:rPr>
        <w:t> </w:t>
      </w:r>
      <w:r>
        <w:rPr>
          <w:color w:val="231F20"/>
        </w:rPr>
        <w:t>18C),</w:t>
      </w:r>
      <w:r>
        <w:rPr>
          <w:color w:val="231F20"/>
          <w:spacing w:val="-14"/>
        </w:rPr>
        <w:t> </w:t>
      </w:r>
      <w:r>
        <w:rPr>
          <w:color w:val="231F20"/>
        </w:rPr>
        <w:t>the</w:t>
      </w:r>
      <w:r>
        <w:rPr>
          <w:color w:val="231F20"/>
          <w:spacing w:val="-14"/>
        </w:rPr>
        <w:t> </w:t>
      </w:r>
      <w:r>
        <w:rPr>
          <w:color w:val="231F20"/>
          <w:spacing w:val="-3"/>
        </w:rPr>
        <w:t>Paleoproterozoic </w:t>
      </w:r>
      <w:r>
        <w:rPr>
          <w:color w:val="231F20"/>
        </w:rPr>
        <w:t>Bergslagen district (Allen et al., 1996b), the Devono- Mississippian Iberian Pyrite Belt in Spain and Portugal (Carvalho et al., 1999), and the Mississippian Finlayson Lake camp, </w:t>
      </w:r>
      <w:r>
        <w:rPr>
          <w:color w:val="231F20"/>
          <w:spacing w:val="-5"/>
        </w:rPr>
        <w:t>Yukon </w:t>
      </w:r>
      <w:r>
        <w:rPr>
          <w:color w:val="231F20"/>
        </w:rPr>
        <w:t>(Peter, 2003). Mineralogical variations within these regionally extensive iron formations, from oxide through carbonate to sulphide, are indicative of prox- imity to more focused, higher temperature hydrothermal vent</w:t>
      </w:r>
      <w:r>
        <w:rPr>
          <w:color w:val="231F20"/>
          <w:spacing w:val="27"/>
        </w:rPr>
        <w:t> </w:t>
      </w:r>
      <w:r>
        <w:rPr>
          <w:color w:val="231F20"/>
        </w:rPr>
        <w:t>complexes</w:t>
      </w:r>
      <w:r>
        <w:rPr>
          <w:color w:val="231F20"/>
          <w:spacing w:val="27"/>
        </w:rPr>
        <w:t> </w:t>
      </w:r>
      <w:r>
        <w:rPr>
          <w:color w:val="231F20"/>
        </w:rPr>
        <w:t>and</w:t>
      </w:r>
      <w:r>
        <w:rPr>
          <w:color w:val="231F20"/>
          <w:spacing w:val="27"/>
        </w:rPr>
        <w:t> </w:t>
      </w:r>
      <w:r>
        <w:rPr>
          <w:color w:val="231F20"/>
        </w:rPr>
        <w:t>also</w:t>
      </w:r>
      <w:r>
        <w:rPr>
          <w:color w:val="231F20"/>
          <w:spacing w:val="27"/>
        </w:rPr>
        <w:t> </w:t>
      </w:r>
      <w:r>
        <w:rPr>
          <w:color w:val="231F20"/>
        </w:rPr>
        <w:t>reflect</w:t>
      </w:r>
      <w:r>
        <w:rPr>
          <w:color w:val="231F20"/>
          <w:spacing w:val="27"/>
        </w:rPr>
        <w:t> </w:t>
      </w:r>
      <w:r>
        <w:rPr>
          <w:color w:val="231F20"/>
        </w:rPr>
        <w:t>stratification</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water</w:t>
      </w:r>
    </w:p>
    <w:p>
      <w:pPr>
        <w:pStyle w:val="BodyText"/>
        <w:spacing w:line="230" w:lineRule="auto" w:before="122"/>
        <w:ind w:left="314" w:right="1095"/>
        <w:jc w:val="both"/>
      </w:pPr>
      <w:r>
        <w:rPr/>
        <w:br w:type="column"/>
      </w:r>
      <w:r>
        <w:rPr>
          <w:color w:val="231F20"/>
        </w:rPr>
        <w:t>column in the basin. The mineralogical variations are accompanied by changes in element ratios such as Fe, Mn, B, </w:t>
      </w:r>
      <w:r>
        <w:rPr>
          <w:color w:val="231F20"/>
          <w:spacing w:val="-12"/>
        </w:rPr>
        <w:t>P, </w:t>
      </w:r>
      <w:r>
        <w:rPr>
          <w:color w:val="231F20"/>
        </w:rPr>
        <w:t>and Zn (exhalative component) versus Al and </w:t>
      </w:r>
      <w:r>
        <w:rPr>
          <w:color w:val="231F20"/>
          <w:spacing w:val="-4"/>
        </w:rPr>
        <w:t>Ti </w:t>
      </w:r>
      <w:r>
        <w:rPr>
          <w:color w:val="231F20"/>
        </w:rPr>
        <w:t>(detri- tal clastic component) (Peter and </w:t>
      </w:r>
      <w:r>
        <w:rPr>
          <w:color w:val="231F20"/>
          <w:spacing w:val="-3"/>
        </w:rPr>
        <w:t>Goodfellow, </w:t>
      </w:r>
      <w:r>
        <w:rPr>
          <w:color w:val="231F20"/>
        </w:rPr>
        <w:t>1996).</w:t>
      </w:r>
    </w:p>
    <w:p>
      <w:pPr>
        <w:spacing w:before="155"/>
        <w:ind w:left="314" w:right="0" w:firstLine="0"/>
        <w:jc w:val="left"/>
        <w:rPr>
          <w:i/>
          <w:sz w:val="20"/>
        </w:rPr>
      </w:pPr>
      <w:r>
        <w:rPr>
          <w:i/>
          <w:color w:val="231F20"/>
          <w:sz w:val="20"/>
        </w:rPr>
        <w:t>Deposit-Scale Environments</w:t>
      </w:r>
    </w:p>
    <w:p>
      <w:pPr>
        <w:pStyle w:val="BodyText"/>
        <w:spacing w:line="230" w:lineRule="auto" w:before="69"/>
        <w:ind w:left="314" w:right="1092" w:firstLine="216"/>
        <w:jc w:val="both"/>
      </w:pPr>
      <w:r>
        <w:rPr>
          <w:color w:val="231F20"/>
        </w:rPr>
        <w:t>VMS deposits consist of a massive to semimassive stratabound sulphide lens, and most are underlain by a sul- phide-silicate</w:t>
      </w:r>
      <w:r>
        <w:rPr>
          <w:color w:val="231F20"/>
          <w:spacing w:val="-8"/>
        </w:rPr>
        <w:t> </w:t>
      </w:r>
      <w:r>
        <w:rPr>
          <w:color w:val="231F20"/>
        </w:rPr>
        <w:t>stockwork</w:t>
      </w:r>
      <w:r>
        <w:rPr>
          <w:color w:val="231F20"/>
          <w:spacing w:val="-8"/>
        </w:rPr>
        <w:t> </w:t>
      </w:r>
      <w:r>
        <w:rPr>
          <w:color w:val="231F20"/>
        </w:rPr>
        <w:t>vein</w:t>
      </w:r>
      <w:r>
        <w:rPr>
          <w:color w:val="231F20"/>
          <w:spacing w:val="-8"/>
        </w:rPr>
        <w:t> </w:t>
      </w:r>
      <w:r>
        <w:rPr>
          <w:color w:val="231F20"/>
        </w:rPr>
        <w:t>system</w:t>
      </w:r>
      <w:r>
        <w:rPr>
          <w:color w:val="231F20"/>
          <w:spacing w:val="-8"/>
        </w:rPr>
        <w:t> </w:t>
      </w:r>
      <w:r>
        <w:rPr>
          <w:color w:val="231F20"/>
        </w:rPr>
        <w:t>(Figs.</w:t>
      </w:r>
      <w:r>
        <w:rPr>
          <w:color w:val="231F20"/>
          <w:spacing w:val="-8"/>
        </w:rPr>
        <w:t> </w:t>
      </w:r>
      <w:r>
        <w:rPr>
          <w:color w:val="231F20"/>
        </w:rPr>
        <w:t>1,</w:t>
      </w:r>
      <w:r>
        <w:rPr>
          <w:color w:val="231F20"/>
          <w:spacing w:val="-8"/>
        </w:rPr>
        <w:t> </w:t>
      </w:r>
      <w:r>
        <w:rPr>
          <w:color w:val="231F20"/>
        </w:rPr>
        <w:t>4).</w:t>
      </w:r>
      <w:r>
        <w:rPr>
          <w:color w:val="231F20"/>
          <w:spacing w:val="-11"/>
        </w:rPr>
        <w:t> </w:t>
      </w:r>
      <w:r>
        <w:rPr>
          <w:color w:val="231F20"/>
        </w:rPr>
        <w:t>Within</w:t>
      </w:r>
      <w:r>
        <w:rPr>
          <w:color w:val="231F20"/>
          <w:spacing w:val="-8"/>
        </w:rPr>
        <w:t> </w:t>
      </w:r>
      <w:r>
        <w:rPr>
          <w:color w:val="231F20"/>
        </w:rPr>
        <w:t>this broad framework, there is a spectrum of deposit sizes, mor- phologies, and compositions, depending on the nature of the synvolcanic</w:t>
      </w:r>
      <w:r>
        <w:rPr>
          <w:color w:val="231F20"/>
          <w:spacing w:val="-8"/>
        </w:rPr>
        <w:t> </w:t>
      </w:r>
      <w:r>
        <w:rPr>
          <w:color w:val="231F20"/>
        </w:rPr>
        <w:t>faulting,</w:t>
      </w:r>
      <w:r>
        <w:rPr>
          <w:color w:val="231F20"/>
          <w:spacing w:val="-8"/>
        </w:rPr>
        <w:t> </w:t>
      </w:r>
      <w:r>
        <w:rPr>
          <w:color w:val="231F20"/>
        </w:rPr>
        <w:t>footwall</w:t>
      </w:r>
      <w:r>
        <w:rPr>
          <w:color w:val="231F20"/>
          <w:spacing w:val="-8"/>
        </w:rPr>
        <w:t> </w:t>
      </w:r>
      <w:r>
        <w:rPr>
          <w:color w:val="231F20"/>
        </w:rPr>
        <w:t>and</w:t>
      </w:r>
      <w:r>
        <w:rPr>
          <w:color w:val="231F20"/>
          <w:spacing w:val="-8"/>
        </w:rPr>
        <w:t> </w:t>
      </w:r>
      <w:r>
        <w:rPr>
          <w:color w:val="231F20"/>
        </w:rPr>
        <w:t>host-rock</w:t>
      </w:r>
      <w:r>
        <w:rPr>
          <w:color w:val="231F20"/>
          <w:spacing w:val="-8"/>
        </w:rPr>
        <w:t> </w:t>
      </w:r>
      <w:r>
        <w:rPr>
          <w:color w:val="231F20"/>
        </w:rPr>
        <w:t>lithology,</w:t>
      </w:r>
      <w:r>
        <w:rPr>
          <w:color w:val="231F20"/>
          <w:spacing w:val="-8"/>
        </w:rPr>
        <w:t> </w:t>
      </w:r>
      <w:r>
        <w:rPr>
          <w:color w:val="231F20"/>
        </w:rPr>
        <w:t>water depth, size and duration of the hydrothermal system, tem- perature gradients, and degree of preservation. Individual massive sulphide lenses can be over 100 m thick, tens of metres wide, and hundreds of metres in strike length. The 135</w:t>
      </w:r>
      <w:r>
        <w:rPr>
          <w:color w:val="231F20"/>
          <w:spacing w:val="-5"/>
        </w:rPr>
        <w:t> </w:t>
      </w:r>
      <w:r>
        <w:rPr>
          <w:color w:val="231F20"/>
        </w:rPr>
        <w:t>Mt</w:t>
      </w:r>
      <w:r>
        <w:rPr>
          <w:color w:val="231F20"/>
          <w:spacing w:val="-5"/>
        </w:rPr>
        <w:t> </w:t>
      </w:r>
      <w:r>
        <w:rPr>
          <w:color w:val="231F20"/>
        </w:rPr>
        <w:t>Kidd</w:t>
      </w:r>
      <w:r>
        <w:rPr>
          <w:color w:val="231F20"/>
          <w:spacing w:val="-5"/>
        </w:rPr>
        <w:t> </w:t>
      </w:r>
      <w:r>
        <w:rPr>
          <w:color w:val="231F20"/>
        </w:rPr>
        <w:t>Creek</w:t>
      </w:r>
      <w:r>
        <w:rPr>
          <w:color w:val="231F20"/>
          <w:spacing w:val="-5"/>
        </w:rPr>
        <w:t> </w:t>
      </w:r>
      <w:r>
        <w:rPr>
          <w:color w:val="231F20"/>
        </w:rPr>
        <w:t>deposit</w:t>
      </w:r>
      <w:r>
        <w:rPr>
          <w:color w:val="231F20"/>
          <w:spacing w:val="-5"/>
        </w:rPr>
        <w:t> </w:t>
      </w:r>
      <w:r>
        <w:rPr>
          <w:color w:val="231F20"/>
        </w:rPr>
        <w:t>begins</w:t>
      </w:r>
      <w:r>
        <w:rPr>
          <w:color w:val="231F20"/>
          <w:spacing w:val="-5"/>
        </w:rPr>
        <w:t> </w:t>
      </w:r>
      <w:r>
        <w:rPr>
          <w:color w:val="231F20"/>
        </w:rPr>
        <w:t>at</w:t>
      </w:r>
      <w:r>
        <w:rPr>
          <w:color w:val="231F20"/>
          <w:spacing w:val="-5"/>
        </w:rPr>
        <w:t> </w:t>
      </w:r>
      <w:r>
        <w:rPr>
          <w:color w:val="231F20"/>
        </w:rPr>
        <w:t>the</w:t>
      </w:r>
      <w:r>
        <w:rPr>
          <w:color w:val="231F20"/>
          <w:spacing w:val="-5"/>
        </w:rPr>
        <w:t> </w:t>
      </w:r>
      <w:r>
        <w:rPr>
          <w:color w:val="231F20"/>
        </w:rPr>
        <w:t>present</w:t>
      </w:r>
      <w:r>
        <w:rPr>
          <w:color w:val="231F20"/>
          <w:spacing w:val="-5"/>
        </w:rPr>
        <w:t> </w:t>
      </w:r>
      <w:r>
        <w:rPr>
          <w:color w:val="231F20"/>
        </w:rPr>
        <w:t>erosion</w:t>
      </w:r>
      <w:r>
        <w:rPr>
          <w:color w:val="231F20"/>
          <w:spacing w:val="-5"/>
        </w:rPr>
        <w:t> </w:t>
      </w:r>
      <w:r>
        <w:rPr>
          <w:color w:val="231F20"/>
        </w:rPr>
        <w:t>sur- face and extends for over 2000 m downplunge</w:t>
      </w:r>
      <w:r>
        <w:rPr>
          <w:color w:val="231F20"/>
          <w:spacing w:val="28"/>
        </w:rPr>
        <w:t> </w:t>
      </w:r>
      <w:r>
        <w:rPr>
          <w:color w:val="231F20"/>
        </w:rPr>
        <w:t>(original strike length), with the five composite orebodies over 500 m wide and </w:t>
      </w:r>
      <w:r>
        <w:rPr>
          <w:color w:val="231F20"/>
          <w:spacing w:val="1"/>
        </w:rPr>
        <w:t>individual lenses </w:t>
      </w:r>
      <w:r>
        <w:rPr>
          <w:color w:val="231F20"/>
        </w:rPr>
        <w:t>up to 100 m </w:t>
      </w:r>
      <w:r>
        <w:rPr>
          <w:color w:val="231F20"/>
          <w:spacing w:val="1"/>
        </w:rPr>
        <w:t>thick. </w:t>
      </w:r>
      <w:r>
        <w:rPr>
          <w:color w:val="231F20"/>
          <w:spacing w:val="2"/>
        </w:rPr>
        <w:t>The </w:t>
      </w:r>
      <w:r>
        <w:rPr>
          <w:color w:val="231F20"/>
        </w:rPr>
        <w:t>stratabound sulphide mound component of a VMS deposit may have a number of morphologies and variable internal structure (e.g. Fig. 1). Observations of modern seafloor hydrothermal vent complexes in effusive, flow-dominated terranes</w:t>
      </w:r>
      <w:r>
        <w:rPr>
          <w:color w:val="231F20"/>
          <w:spacing w:val="-5"/>
        </w:rPr>
        <w:t> </w:t>
      </w:r>
      <w:r>
        <w:rPr>
          <w:color w:val="231F20"/>
        </w:rPr>
        <w:t>indicate</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deposits</w:t>
      </w:r>
      <w:r>
        <w:rPr>
          <w:color w:val="231F20"/>
          <w:spacing w:val="-5"/>
        </w:rPr>
        <w:t> </w:t>
      </w:r>
      <w:r>
        <w:rPr>
          <w:color w:val="231F20"/>
        </w:rPr>
        <w:t>begin</w:t>
      </w:r>
      <w:r>
        <w:rPr>
          <w:color w:val="231F20"/>
          <w:spacing w:val="-5"/>
        </w:rPr>
        <w:t> </w:t>
      </w:r>
      <w:r>
        <w:rPr>
          <w:color w:val="231F20"/>
        </w:rPr>
        <w:t>to</w:t>
      </w:r>
      <w:r>
        <w:rPr>
          <w:color w:val="231F20"/>
          <w:spacing w:val="-5"/>
        </w:rPr>
        <w:t> </w:t>
      </w:r>
      <w:r>
        <w:rPr>
          <w:color w:val="231F20"/>
        </w:rPr>
        <w:t>form</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series</w:t>
      </w:r>
      <w:r>
        <w:rPr>
          <w:color w:val="231F20"/>
          <w:spacing w:val="-5"/>
        </w:rPr>
        <w:t> </w:t>
      </w:r>
      <w:r>
        <w:rPr>
          <w:color w:val="231F20"/>
        </w:rPr>
        <w:t>of</w:t>
      </w:r>
    </w:p>
    <w:p>
      <w:pPr>
        <w:spacing w:after="0" w:line="230" w:lineRule="auto"/>
        <w:jc w:val="both"/>
        <w:sectPr>
          <w:type w:val="continuous"/>
          <w:pgSz w:w="12240" w:h="15840"/>
          <w:pgMar w:top="920" w:bottom="280" w:left="0" w:right="0"/>
          <w:cols w:num="2" w:equalWidth="0">
            <w:col w:w="5946" w:space="40"/>
            <w:col w:w="625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4"/>
        </w:rPr>
      </w:pPr>
    </w:p>
    <w:tbl>
      <w:tblPr>
        <w:tblW w:w="0" w:type="auto"/>
        <w:jc w:val="left"/>
        <w:tblInd w:w="564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83"/>
        <w:gridCol w:w="235"/>
        <w:gridCol w:w="1678"/>
        <w:gridCol w:w="3499"/>
      </w:tblGrid>
      <w:tr>
        <w:trPr>
          <w:trHeight w:val="3010" w:hRule="atLeast"/>
        </w:trPr>
        <w:tc>
          <w:tcPr>
            <w:tcW w:w="1996" w:type="dxa"/>
            <w:gridSpan w:val="3"/>
            <w:tcBorders>
              <w:right w:val="nil"/>
            </w:tcBorders>
          </w:tcPr>
          <w:p>
            <w:pPr>
              <w:pStyle w:val="TableParagraph"/>
              <w:tabs>
                <w:tab w:pos="782" w:val="right" w:leader="none"/>
              </w:tabs>
              <w:spacing w:line="240" w:lineRule="auto" w:before="138"/>
              <w:ind w:left="150"/>
              <w:rPr>
                <w:sz w:val="10"/>
              </w:rPr>
            </w:pPr>
            <w:r>
              <w:rPr>
                <w:color w:val="231F20"/>
                <w:sz w:val="10"/>
              </w:rPr>
              <w:t>0    </w:t>
            </w:r>
            <w:r>
              <w:rPr>
                <w:color w:val="231F20"/>
                <w:spacing w:val="15"/>
                <w:sz w:val="10"/>
              </w:rPr>
              <w:t> </w:t>
            </w:r>
            <w:r>
              <w:rPr>
                <w:color w:val="231F20"/>
                <w:sz w:val="10"/>
              </w:rPr>
              <w:t>km</w:t>
              <w:tab/>
              <w:t>2</w:t>
            </w:r>
          </w:p>
          <w:p>
            <w:pPr>
              <w:pStyle w:val="TableParagraph"/>
              <w:spacing w:line="240" w:lineRule="auto" w:before="86"/>
              <w:ind w:left="379"/>
              <w:rPr>
                <w:b/>
                <w:sz w:val="12"/>
              </w:rPr>
            </w:pPr>
            <w:r>
              <w:rPr>
                <w:b/>
                <w:color w:val="231F20"/>
                <w:w w:val="104"/>
                <w:sz w:val="12"/>
              </w:rPr>
              <w:t>N</w:t>
            </w:r>
          </w:p>
          <w:p>
            <w:pPr>
              <w:pStyle w:val="TableParagraph"/>
              <w:spacing w:line="240" w:lineRule="auto" w:before="0"/>
              <w:rPr>
                <w:rFonts w:ascii="Times New Roman"/>
                <w:sz w:val="14"/>
              </w:rPr>
            </w:pPr>
          </w:p>
          <w:p>
            <w:pPr>
              <w:pStyle w:val="TableParagraph"/>
              <w:spacing w:line="240" w:lineRule="auto" w:before="7"/>
              <w:rPr>
                <w:rFonts w:ascii="Times New Roman"/>
                <w:sz w:val="15"/>
              </w:rPr>
            </w:pPr>
          </w:p>
          <w:p>
            <w:pPr>
              <w:pStyle w:val="TableParagraph"/>
              <w:spacing w:line="264" w:lineRule="auto" w:before="1"/>
              <w:ind w:left="1141" w:right="516" w:hanging="34"/>
              <w:rPr>
                <w:sz w:val="10"/>
              </w:rPr>
            </w:pPr>
            <w:r>
              <w:rPr>
                <w:color w:val="231F20"/>
                <w:sz w:val="10"/>
              </w:rPr>
              <w:t>Richard Lake</w:t>
            </w:r>
          </w:p>
          <w:p>
            <w:pPr>
              <w:pStyle w:val="TableParagraph"/>
              <w:spacing w:line="240" w:lineRule="auto" w:before="35"/>
              <w:ind w:left="1111"/>
              <w:rPr>
                <w:sz w:val="10"/>
              </w:rPr>
            </w:pPr>
            <w:r>
              <w:rPr>
                <w:color w:val="231F20"/>
                <w:sz w:val="10"/>
              </w:rPr>
              <w:t>Pluton</w:t>
            </w: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rPr>
                <w:rFonts w:ascii="Times New Roman"/>
                <w:sz w:val="14"/>
              </w:rPr>
            </w:pPr>
          </w:p>
          <w:p>
            <w:pPr>
              <w:pStyle w:val="TableParagraph"/>
              <w:spacing w:line="182" w:lineRule="auto" w:before="0"/>
              <w:ind w:left="289" w:right="1368" w:hanging="28"/>
              <w:rPr>
                <w:i/>
                <w:sz w:val="10"/>
              </w:rPr>
            </w:pPr>
            <w:r>
              <w:rPr>
                <w:i/>
                <w:color w:val="231F20"/>
                <w:sz w:val="10"/>
              </w:rPr>
              <w:t>Morgan </w:t>
            </w:r>
            <w:r>
              <w:rPr>
                <w:i/>
                <w:color w:val="231F20"/>
                <w:sz w:val="10"/>
              </w:rPr>
              <w:t>Lake</w:t>
            </w:r>
          </w:p>
          <w:p>
            <w:pPr>
              <w:pStyle w:val="TableParagraph"/>
              <w:spacing w:line="240" w:lineRule="auto" w:before="0"/>
              <w:rPr>
                <w:rFonts w:ascii="Times New Roman"/>
                <w:sz w:val="10"/>
              </w:rPr>
            </w:pPr>
          </w:p>
          <w:p>
            <w:pPr>
              <w:pStyle w:val="TableParagraph"/>
              <w:spacing w:line="72" w:lineRule="exact" w:before="86"/>
              <w:ind w:left="44"/>
              <w:rPr>
                <w:sz w:val="10"/>
              </w:rPr>
            </w:pPr>
            <w:r>
              <w:rPr>
                <w:color w:val="231F20"/>
                <w:sz w:val="10"/>
              </w:rPr>
              <w:t>54°45'00"</w:t>
            </w:r>
          </w:p>
        </w:tc>
        <w:tc>
          <w:tcPr>
            <w:tcW w:w="3499" w:type="dxa"/>
            <w:tcBorders>
              <w:left w:val="nil"/>
            </w:tcBorders>
          </w:tcPr>
          <w:p>
            <w:pPr>
              <w:pStyle w:val="TableParagraph"/>
              <w:spacing w:line="109" w:lineRule="exact" w:before="0"/>
              <w:ind w:right="22"/>
              <w:jc w:val="right"/>
              <w:rPr>
                <w:sz w:val="10"/>
              </w:rPr>
            </w:pPr>
            <w:r>
              <w:rPr>
                <w:color w:val="231F20"/>
                <w:sz w:val="10"/>
              </w:rPr>
              <w:t>54°52'35"</w:t>
            </w:r>
          </w:p>
          <w:p>
            <w:pPr>
              <w:pStyle w:val="TableParagraph"/>
              <w:tabs>
                <w:tab w:pos="1847" w:val="left" w:leader="none"/>
              </w:tabs>
              <w:spacing w:line="206" w:lineRule="auto" w:before="47"/>
              <w:ind w:left="1116"/>
              <w:rPr>
                <w:sz w:val="10"/>
              </w:rPr>
            </w:pPr>
            <w:r>
              <w:rPr>
                <w:i/>
                <w:color w:val="231F20"/>
                <w:position w:val="-5"/>
                <w:sz w:val="10"/>
              </w:rPr>
              <w:t>Snow</w:t>
              <w:tab/>
            </w:r>
            <w:r>
              <w:rPr>
                <w:color w:val="231F20"/>
                <w:sz w:val="10"/>
              </w:rPr>
              <w:t>McLeod Road Fault</w:t>
            </w:r>
          </w:p>
          <w:p>
            <w:pPr>
              <w:pStyle w:val="TableParagraph"/>
              <w:spacing w:line="104" w:lineRule="exact" w:before="0"/>
              <w:ind w:left="1155"/>
              <w:rPr>
                <w:i/>
                <w:sz w:val="10"/>
              </w:rPr>
            </w:pPr>
            <w:r>
              <w:rPr>
                <w:i/>
                <w:color w:val="231F20"/>
                <w:sz w:val="10"/>
              </w:rPr>
              <w:t>Lake</w:t>
            </w: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0" w:lineRule="auto" w:before="0"/>
              <w:rPr>
                <w:rFonts w:ascii="Times New Roman"/>
                <w:sz w:val="10"/>
              </w:rPr>
            </w:pPr>
          </w:p>
          <w:p>
            <w:pPr>
              <w:pStyle w:val="TableParagraph"/>
              <w:spacing w:line="249" w:lineRule="auto" w:before="58"/>
              <w:ind w:left="1333" w:right="1591" w:firstLine="148"/>
              <w:rPr>
                <w:sz w:val="12"/>
              </w:rPr>
            </w:pPr>
            <w:r>
              <w:rPr>
                <w:color w:val="231F20"/>
                <w:w w:val="105"/>
                <w:sz w:val="12"/>
              </w:rPr>
              <w:t>Sneath Lake</w:t>
            </w:r>
          </w:p>
          <w:p>
            <w:pPr>
              <w:pStyle w:val="TableParagraph"/>
              <w:spacing w:line="240" w:lineRule="auto" w:before="44"/>
              <w:ind w:left="1148"/>
              <w:rPr>
                <w:sz w:val="12"/>
              </w:rPr>
            </w:pPr>
            <w:r>
              <w:rPr>
                <w:color w:val="231F20"/>
                <w:w w:val="105"/>
                <w:sz w:val="12"/>
              </w:rPr>
              <w:t>Pluton</w:t>
            </w:r>
          </w:p>
        </w:tc>
      </w:tr>
      <w:tr>
        <w:trPr>
          <w:trHeight w:val="518" w:hRule="atLeast"/>
        </w:trPr>
        <w:tc>
          <w:tcPr>
            <w:tcW w:w="1996" w:type="dxa"/>
            <w:gridSpan w:val="3"/>
            <w:tcBorders>
              <w:bottom w:val="nil"/>
              <w:right w:val="nil"/>
            </w:tcBorders>
          </w:tcPr>
          <w:p>
            <w:pPr>
              <w:pStyle w:val="TableParagraph"/>
              <w:spacing w:line="309" w:lineRule="auto" w:before="86"/>
              <w:ind w:left="398" w:firstLine="1"/>
              <w:rPr>
                <w:sz w:val="12"/>
              </w:rPr>
            </w:pPr>
            <w:r>
              <w:rPr>
                <w:color w:val="231F20"/>
                <w:w w:val="105"/>
                <w:sz w:val="12"/>
              </w:rPr>
              <w:t>Synkinematic intrusions Synvolcanic intrusions</w:t>
            </w:r>
          </w:p>
        </w:tc>
        <w:tc>
          <w:tcPr>
            <w:tcW w:w="3499" w:type="dxa"/>
            <w:tcBorders>
              <w:left w:val="nil"/>
              <w:bottom w:val="nil"/>
            </w:tcBorders>
          </w:tcPr>
          <w:p>
            <w:pPr>
              <w:pStyle w:val="TableParagraph"/>
              <w:tabs>
                <w:tab w:pos="2203" w:val="left" w:leader="none"/>
              </w:tabs>
              <w:spacing w:line="160" w:lineRule="atLeast" w:before="67"/>
              <w:ind w:left="293" w:right="144" w:hanging="3"/>
              <w:rPr>
                <w:sz w:val="12"/>
              </w:rPr>
            </w:pPr>
            <w:r>
              <w:rPr>
                <w:color w:val="231F20"/>
                <w:w w:val="105"/>
                <w:sz w:val="12"/>
              </w:rPr>
              <w:t>Basalt and</w:t>
            </w:r>
            <w:r>
              <w:rPr>
                <w:color w:val="231F20"/>
                <w:spacing w:val="-10"/>
                <w:w w:val="105"/>
                <w:sz w:val="12"/>
              </w:rPr>
              <w:t> </w:t>
            </w:r>
            <w:r>
              <w:rPr>
                <w:color w:val="231F20"/>
                <w:w w:val="105"/>
                <w:sz w:val="12"/>
              </w:rPr>
              <w:t>basaltic</w:t>
            </w:r>
            <w:r>
              <w:rPr>
                <w:color w:val="231F20"/>
                <w:spacing w:val="-5"/>
                <w:w w:val="105"/>
                <w:sz w:val="12"/>
              </w:rPr>
              <w:t> </w:t>
            </w:r>
            <w:r>
              <w:rPr>
                <w:color w:val="231F20"/>
                <w:w w:val="105"/>
                <w:sz w:val="12"/>
              </w:rPr>
              <w:t>andesite</w:t>
              <w:tab/>
            </w:r>
            <w:r>
              <w:rPr>
                <w:color w:val="231F20"/>
                <w:spacing w:val="-3"/>
                <w:w w:val="105"/>
                <w:position w:val="1"/>
                <w:sz w:val="12"/>
              </w:rPr>
              <w:t>Younging </w:t>
            </w:r>
            <w:r>
              <w:rPr>
                <w:color w:val="231F20"/>
                <w:w w:val="105"/>
                <w:position w:val="1"/>
                <w:sz w:val="12"/>
              </w:rPr>
              <w:t>direction </w:t>
            </w:r>
            <w:r>
              <w:rPr>
                <w:color w:val="231F20"/>
                <w:w w:val="105"/>
                <w:sz w:val="12"/>
              </w:rPr>
              <w:t>Dacite</w:t>
              <w:tab/>
              <w:t>Cu and Zn-rich</w:t>
            </w:r>
            <w:r>
              <w:rPr>
                <w:color w:val="231F20"/>
                <w:spacing w:val="-10"/>
                <w:w w:val="105"/>
                <w:sz w:val="12"/>
              </w:rPr>
              <w:t> </w:t>
            </w:r>
            <w:r>
              <w:rPr>
                <w:color w:val="231F20"/>
                <w:w w:val="105"/>
                <w:sz w:val="12"/>
              </w:rPr>
              <w:t>VMS</w:t>
            </w:r>
          </w:p>
          <w:p>
            <w:pPr>
              <w:pStyle w:val="TableParagraph"/>
              <w:tabs>
                <w:tab w:pos="2208" w:val="left" w:leader="none"/>
              </w:tabs>
              <w:spacing w:line="28" w:lineRule="auto" w:before="4"/>
              <w:ind w:left="288"/>
              <w:rPr>
                <w:sz w:val="12"/>
              </w:rPr>
            </w:pPr>
            <w:r>
              <w:rPr>
                <w:color w:val="231F20"/>
                <w:w w:val="105"/>
                <w:position w:val="-8"/>
                <w:sz w:val="12"/>
              </w:rPr>
              <w:t>Rhyolite</w:t>
              <w:tab/>
            </w:r>
            <w:r>
              <w:rPr>
                <w:color w:val="231F20"/>
                <w:w w:val="105"/>
                <w:sz w:val="12"/>
              </w:rPr>
              <w:t>deposits/occurrences</w:t>
            </w:r>
          </w:p>
        </w:tc>
      </w:tr>
      <w:tr>
        <w:trPr>
          <w:trHeight w:val="172" w:hRule="atLeast"/>
        </w:trPr>
        <w:tc>
          <w:tcPr>
            <w:tcW w:w="83" w:type="dxa"/>
            <w:tcBorders>
              <w:top w:val="nil"/>
              <w:bottom w:val="nil"/>
              <w:right w:val="single" w:sz="4" w:space="0" w:color="231F20"/>
            </w:tcBorders>
          </w:tcPr>
          <w:p>
            <w:pPr>
              <w:pStyle w:val="TableParagraph"/>
              <w:spacing w:line="240" w:lineRule="auto" w:before="0"/>
              <w:rPr>
                <w:rFonts w:ascii="Times New Roman"/>
                <w:sz w:val="10"/>
              </w:rPr>
            </w:pPr>
          </w:p>
        </w:tc>
        <w:tc>
          <w:tcPr>
            <w:tcW w:w="235" w:type="dxa"/>
            <w:tcBorders>
              <w:top w:val="nil"/>
              <w:left w:val="single" w:sz="4" w:space="0" w:color="231F20"/>
              <w:bottom w:val="nil"/>
              <w:right w:val="single" w:sz="4" w:space="0" w:color="231F20"/>
            </w:tcBorders>
          </w:tcPr>
          <w:p>
            <w:pPr>
              <w:pStyle w:val="TableParagraph"/>
              <w:spacing w:line="240" w:lineRule="auto" w:before="0"/>
              <w:rPr>
                <w:rFonts w:ascii="Times New Roman"/>
                <w:sz w:val="10"/>
              </w:rPr>
            </w:pPr>
          </w:p>
        </w:tc>
        <w:tc>
          <w:tcPr>
            <w:tcW w:w="1678" w:type="dxa"/>
            <w:vMerge w:val="restart"/>
            <w:tcBorders>
              <w:top w:val="nil"/>
              <w:left w:val="nil"/>
              <w:right w:val="nil"/>
            </w:tcBorders>
          </w:tcPr>
          <w:p>
            <w:pPr>
              <w:pStyle w:val="TableParagraph"/>
              <w:spacing w:line="137" w:lineRule="exact" w:before="119"/>
              <w:ind w:left="84"/>
              <w:rPr>
                <w:sz w:val="12"/>
              </w:rPr>
            </w:pPr>
            <w:r>
              <w:rPr>
                <w:color w:val="231F20"/>
                <w:w w:val="105"/>
                <w:sz w:val="12"/>
              </w:rPr>
              <w:t>Volcaniclastic</w:t>
            </w:r>
          </w:p>
        </w:tc>
        <w:tc>
          <w:tcPr>
            <w:tcW w:w="3499" w:type="dxa"/>
            <w:vMerge w:val="restart"/>
            <w:tcBorders>
              <w:top w:val="nil"/>
              <w:left w:val="nil"/>
            </w:tcBorders>
          </w:tcPr>
          <w:p>
            <w:pPr>
              <w:pStyle w:val="TableParagraph"/>
              <w:spacing w:line="198" w:lineRule="exact" w:before="0"/>
              <w:ind w:right="40"/>
              <w:jc w:val="right"/>
              <w:rPr>
                <w:b/>
                <w:sz w:val="18"/>
              </w:rPr>
            </w:pPr>
            <w:r>
              <w:rPr>
                <w:b/>
                <w:color w:val="231F20"/>
                <w:sz w:val="18"/>
              </w:rPr>
              <w:t>C</w:t>
            </w:r>
          </w:p>
        </w:tc>
      </w:tr>
      <w:tr>
        <w:trPr>
          <w:trHeight w:val="88" w:hRule="atLeast"/>
        </w:trPr>
        <w:tc>
          <w:tcPr>
            <w:tcW w:w="83" w:type="dxa"/>
            <w:tcBorders>
              <w:top w:val="nil"/>
              <w:right w:val="single" w:sz="4" w:space="0" w:color="231F20"/>
            </w:tcBorders>
          </w:tcPr>
          <w:p>
            <w:pPr>
              <w:pStyle w:val="TableParagraph"/>
              <w:spacing w:line="240" w:lineRule="auto" w:before="0"/>
              <w:rPr>
                <w:rFonts w:ascii="Times New Roman"/>
                <w:sz w:val="4"/>
              </w:rPr>
            </w:pPr>
          </w:p>
        </w:tc>
        <w:tc>
          <w:tcPr>
            <w:tcW w:w="235" w:type="dxa"/>
            <w:tcBorders>
              <w:top w:val="nil"/>
              <w:left w:val="single" w:sz="4" w:space="0" w:color="231F20"/>
              <w:right w:val="single" w:sz="4" w:space="0" w:color="231F20"/>
            </w:tcBorders>
          </w:tcPr>
          <w:p>
            <w:pPr>
              <w:pStyle w:val="TableParagraph"/>
              <w:spacing w:line="240" w:lineRule="auto" w:before="0"/>
              <w:rPr>
                <w:rFonts w:ascii="Times New Roman"/>
                <w:sz w:val="4"/>
              </w:rPr>
            </w:pPr>
          </w:p>
        </w:tc>
        <w:tc>
          <w:tcPr>
            <w:tcW w:w="1678" w:type="dxa"/>
            <w:vMerge/>
            <w:tcBorders>
              <w:top w:val="nil"/>
              <w:left w:val="nil"/>
              <w:right w:val="nil"/>
            </w:tcBorders>
          </w:tcPr>
          <w:p>
            <w:pPr>
              <w:rPr>
                <w:sz w:val="2"/>
                <w:szCs w:val="2"/>
              </w:rPr>
            </w:pPr>
          </w:p>
        </w:tc>
        <w:tc>
          <w:tcPr>
            <w:tcW w:w="3499" w:type="dxa"/>
            <w:vMerge/>
            <w:tcBorders>
              <w:top w:val="nil"/>
              <w:left w:val="nil"/>
            </w:tcBorders>
          </w:tcPr>
          <w:p>
            <w:pPr>
              <w:rPr>
                <w:sz w:val="2"/>
                <w:szCs w:val="2"/>
              </w:rPr>
            </w:pPr>
          </w:p>
        </w:tc>
      </w:tr>
    </w:tbl>
    <w:p>
      <w:pPr>
        <w:pStyle w:val="BodyText"/>
        <w:spacing w:before="7"/>
        <w:rPr>
          <w:sz w:val="19"/>
        </w:rPr>
      </w:pPr>
    </w:p>
    <w:p>
      <w:pPr>
        <w:spacing w:line="230" w:lineRule="auto" w:before="121"/>
        <w:ind w:left="5988" w:right="1082" w:hanging="1"/>
        <w:jc w:val="both"/>
        <w:rPr>
          <w:sz w:val="16"/>
        </w:rPr>
      </w:pPr>
      <w:r>
        <w:rPr/>
        <w:pict>
          <v:group style="position:absolute;margin-left:54pt;margin-top:-127.753311pt;width:224.3pt;height:305.55pt;mso-position-horizontal-relative:page;mso-position-vertical-relative:paragraph;z-index:8056" coordorigin="1080,-2555" coordsize="4486,6111">
            <v:rect style="position:absolute;left:1080;top:-2556;width:4486;height:6111" filled="true" fillcolor="#ffffff" stroked="false">
              <v:fill type="solid"/>
            </v:rect>
            <v:shape style="position:absolute;left:1084;top:-2551;width:4476;height:4381" type="#_x0000_t75" stroked="false">
              <v:imagedata r:id="rId184" o:title=""/>
            </v:shape>
            <v:shape style="position:absolute;left:1119;top:2522;width:185;height:126" type="#_x0000_t75" stroked="false">
              <v:imagedata r:id="rId185" o:title=""/>
            </v:shape>
            <v:shape style="position:absolute;left:1119;top:2863;width:185;height:126" type="#_x0000_t75" stroked="false">
              <v:imagedata r:id="rId186" o:title=""/>
            </v:shape>
            <v:shape style="position:absolute;left:1119;top:2686;width:185;height:126" type="#_x0000_t75" stroked="false">
              <v:imagedata r:id="rId187" o:title=""/>
            </v:shape>
            <v:shape style="position:absolute;left:1127;top:3266;width:185;height:126" type="#_x0000_t75" stroked="false">
              <v:imagedata r:id="rId188" o:title=""/>
            </v:shape>
            <v:shape style="position:absolute;left:1119;top:2082;width:185;height:126" type="#_x0000_t75" stroked="false">
              <v:imagedata r:id="rId189" o:title=""/>
            </v:shape>
            <v:shape style="position:absolute;left:2545;top:3125;width:184;height:126" type="#_x0000_t75" stroked="false">
              <v:imagedata r:id="rId190" o:title=""/>
            </v:shape>
            <v:shape style="position:absolute;left:2545;top:2783;width:184;height:126" type="#_x0000_t75" stroked="false">
              <v:imagedata r:id="rId191" o:title=""/>
            </v:shape>
            <v:shape style="position:absolute;left:3362;top:2081;width:185;height:126" type="#_x0000_t75" stroked="false">
              <v:imagedata r:id="rId192" o:title=""/>
            </v:shape>
            <v:shape style="position:absolute;left:2538;top:2078;width:185;height:126" type="#_x0000_t75" stroked="false">
              <v:imagedata r:id="rId193" o:title=""/>
            </v:shape>
            <v:shape style="position:absolute;left:4172;top:2066;width:185;height:126" type="#_x0000_t75" stroked="false">
              <v:imagedata r:id="rId194" o:title=""/>
            </v:shape>
            <v:shape style="position:absolute;left:2543;top:2256;width:185;height:126" type="#_x0000_t75" stroked="false">
              <v:imagedata r:id="rId195" o:title=""/>
            </v:shape>
            <v:shape style="position:absolute;left:2545;top:2424;width:185;height:126" type="#_x0000_t75" stroked="false">
              <v:imagedata r:id="rId196" o:title=""/>
            </v:shape>
            <v:shape style="position:absolute;left:4175;top:2438;width:185;height:126" type="#_x0000_t75" stroked="false">
              <v:imagedata r:id="rId197" o:title=""/>
            </v:shape>
            <v:shape style="position:absolute;left:4171;top:2250;width:185;height:126" type="#_x0000_t75" stroked="false">
              <v:imagedata r:id="rId198" o:title=""/>
            </v:shape>
            <v:shape style="position:absolute;left:4177;top:3205;width:143;height:135" type="#_x0000_t75" stroked="false">
              <v:imagedata r:id="rId199" o:title=""/>
            </v:shape>
            <v:shape style="position:absolute;left:1085;top:-2549;width:4471;height:6016" coordorigin="1086,-2548" coordsize="4471,6016" path="m1087,-2548l5557,-2548,5557,3468,1087,3468,1087,-2548xm1086,1823l5555,1823e" filled="false" stroked="true" strokeweight=".664pt" strokecolor="#231f20">
              <v:path arrowok="t"/>
              <v:stroke dashstyle="solid"/>
            </v:shape>
            <v:line style="position:absolute" from="1905,-351" to="1949,-367" stroked="true" strokeweight=".564pt" strokecolor="#231f20">
              <v:stroke dashstyle="solid"/>
            </v:line>
            <v:shape style="position:absolute;left:5363;top:3157;width:150;height:250" type="#_x0000_t202" filled="false" stroked="false">
              <v:textbox inset="0,0,0,0">
                <w:txbxContent>
                  <w:p>
                    <w:pPr>
                      <w:spacing w:before="13"/>
                      <w:ind w:left="0" w:right="0" w:firstLine="0"/>
                      <w:jc w:val="left"/>
                      <w:rPr>
                        <w:rFonts w:ascii="Arial"/>
                        <w:b/>
                        <w:sz w:val="18"/>
                      </w:rPr>
                    </w:pPr>
                    <w:r>
                      <w:rPr>
                        <w:rFonts w:ascii="Arial"/>
                        <w:b/>
                        <w:color w:val="231F20"/>
                        <w:sz w:val="18"/>
                      </w:rPr>
                      <w:t>D</w:t>
                    </w:r>
                  </w:p>
                </w:txbxContent>
              </v:textbox>
              <w10:wrap type="none"/>
            </v:shape>
            <v:shape style="position:absolute;left:4391;top:3191;width:839;height:149" type="#_x0000_t202" filled="false" stroked="false">
              <v:textbox inset="0,0,0,0">
                <w:txbxContent>
                  <w:p>
                    <w:pPr>
                      <w:spacing w:line="148" w:lineRule="exact" w:before="0"/>
                      <w:ind w:left="0" w:right="0" w:firstLine="0"/>
                      <w:jc w:val="left"/>
                      <w:rPr>
                        <w:rFonts w:ascii="Arial"/>
                        <w:sz w:val="13"/>
                      </w:rPr>
                    </w:pPr>
                    <w:r>
                      <w:rPr>
                        <w:rFonts w:ascii="Arial"/>
                        <w:color w:val="231F20"/>
                        <w:sz w:val="13"/>
                      </w:rPr>
                      <w:t>VMS deposits</w:t>
                    </w:r>
                  </w:p>
                </w:txbxContent>
              </v:textbox>
              <w10:wrap type="none"/>
            </v:shape>
            <v:shape style="position:absolute;left:2773;top:3112;width:1164;height:149" type="#_x0000_t202" filled="false" stroked="false">
              <v:textbox inset="0,0,0,0">
                <w:txbxContent>
                  <w:p>
                    <w:pPr>
                      <w:spacing w:line="148" w:lineRule="exact" w:before="0"/>
                      <w:ind w:left="0" w:right="0" w:firstLine="0"/>
                      <w:jc w:val="left"/>
                      <w:rPr>
                        <w:rFonts w:ascii="Arial"/>
                        <w:sz w:val="13"/>
                      </w:rPr>
                    </w:pPr>
                    <w:r>
                      <w:rPr>
                        <w:rFonts w:ascii="Arial"/>
                        <w:color w:val="231F20"/>
                        <w:sz w:val="13"/>
                      </w:rPr>
                      <w:t>Upsalquitch gabbro</w:t>
                    </w:r>
                  </w:p>
                </w:txbxContent>
              </v:textbox>
              <w10:wrap type="none"/>
            </v:shape>
            <v:shape style="position:absolute;left:2552;top:2971;width:2423;height:149" type="#_x0000_t202" filled="false" stroked="false">
              <v:textbox inset="0,0,0,0">
                <w:txbxContent>
                  <w:p>
                    <w:pPr>
                      <w:spacing w:line="148" w:lineRule="exact" w:before="0"/>
                      <w:ind w:left="0" w:right="0" w:firstLine="0"/>
                      <w:jc w:val="left"/>
                      <w:rPr>
                        <w:rFonts w:ascii="Arial"/>
                        <w:b/>
                        <w:sz w:val="13"/>
                      </w:rPr>
                    </w:pPr>
                    <w:r>
                      <w:rPr>
                        <w:rFonts w:ascii="Arial"/>
                        <w:b/>
                        <w:color w:val="231F20"/>
                        <w:sz w:val="13"/>
                      </w:rPr>
                      <w:t>Late Neoproterozoic- Lower Cambrian</w:t>
                    </w:r>
                  </w:p>
                </w:txbxContent>
              </v:textbox>
              <w10:wrap type="none"/>
            </v:shape>
            <v:shape style="position:absolute;left:4410;top:2237;width:1152;height:423" type="#_x0000_t202" filled="false" stroked="false">
              <v:textbox inset="0,0,0,0">
                <w:txbxContent>
                  <w:p>
                    <w:pPr>
                      <w:spacing w:line="220" w:lineRule="auto" w:before="8"/>
                      <w:ind w:left="2" w:right="0" w:hanging="3"/>
                      <w:jc w:val="left"/>
                      <w:rPr>
                        <w:rFonts w:ascii="Arial"/>
                        <w:sz w:val="13"/>
                      </w:rPr>
                    </w:pPr>
                    <w:r>
                      <w:rPr>
                        <w:rFonts w:ascii="Arial"/>
                        <w:color w:val="231F20"/>
                        <w:sz w:val="13"/>
                      </w:rPr>
                      <w:t>Tetagouche Group Sheephouse Brook Group</w:t>
                    </w:r>
                  </w:p>
                </w:txbxContent>
              </v:textbox>
              <w10:wrap type="none"/>
            </v:shape>
            <v:shape style="position:absolute;left:2556;top:2228;width:1872;height:687" type="#_x0000_t202" filled="false" stroked="false">
              <v:textbox inset="0,0,0,0">
                <w:txbxContent>
                  <w:p>
                    <w:pPr>
                      <w:spacing w:line="273" w:lineRule="auto" w:before="0"/>
                      <w:ind w:left="210" w:right="245" w:firstLine="6"/>
                      <w:jc w:val="left"/>
                      <w:rPr>
                        <w:rFonts w:ascii="Arial"/>
                        <w:sz w:val="13"/>
                      </w:rPr>
                    </w:pPr>
                    <w:r>
                      <w:rPr>
                        <w:rFonts w:ascii="Arial"/>
                        <w:color w:val="231F20"/>
                        <w:sz w:val="13"/>
                      </w:rPr>
                      <w:t>Fournier Group California Lake Group</w:t>
                    </w:r>
                  </w:p>
                  <w:p>
                    <w:pPr>
                      <w:spacing w:line="143" w:lineRule="exact" w:before="59"/>
                      <w:ind w:left="0" w:right="0" w:firstLine="0"/>
                      <w:jc w:val="left"/>
                      <w:rPr>
                        <w:rFonts w:ascii="Arial"/>
                        <w:b/>
                        <w:sz w:val="13"/>
                      </w:rPr>
                    </w:pPr>
                    <w:r>
                      <w:rPr>
                        <w:rFonts w:ascii="Arial"/>
                        <w:b/>
                        <w:color w:val="231F20"/>
                        <w:sz w:val="13"/>
                      </w:rPr>
                      <w:t>Cambrian - Lower Ordovician</w:t>
                    </w:r>
                  </w:p>
                  <w:p>
                    <w:pPr>
                      <w:spacing w:line="143" w:lineRule="exact" w:before="0"/>
                      <w:ind w:left="218" w:right="0" w:firstLine="0"/>
                      <w:jc w:val="left"/>
                      <w:rPr>
                        <w:rFonts w:ascii="Arial"/>
                        <w:sz w:val="13"/>
                      </w:rPr>
                    </w:pPr>
                    <w:r>
                      <w:rPr>
                        <w:rFonts w:ascii="Arial"/>
                        <w:color w:val="231F20"/>
                        <w:sz w:val="13"/>
                      </w:rPr>
                      <w:t>Miramichi Group</w:t>
                    </w:r>
                  </w:p>
                </w:txbxContent>
              </v:textbox>
              <w10:wrap type="none"/>
            </v:shape>
            <v:shape style="position:absolute;left:2770;top:2049;width:2670;height:157" type="#_x0000_t202" filled="false" stroked="false">
              <v:textbox inset="0,0,0,0">
                <w:txbxContent>
                  <w:p>
                    <w:pPr>
                      <w:tabs>
                        <w:tab w:pos="822" w:val="left" w:leader="none"/>
                        <w:tab w:pos="1638" w:val="left" w:leader="none"/>
                      </w:tabs>
                      <w:spacing w:line="156" w:lineRule="exact" w:before="0"/>
                      <w:ind w:left="0" w:right="0" w:firstLine="0"/>
                      <w:jc w:val="left"/>
                      <w:rPr>
                        <w:rFonts w:ascii="Arial"/>
                        <w:sz w:val="13"/>
                      </w:rPr>
                    </w:pPr>
                    <w:r>
                      <w:rPr>
                        <w:rFonts w:ascii="Arial"/>
                        <w:color w:val="231F20"/>
                        <w:sz w:val="13"/>
                      </w:rPr>
                      <w:t>Gabbro</w:t>
                      <w:tab/>
                      <w:t>Granite</w:t>
                      <w:tab/>
                    </w:r>
                    <w:r>
                      <w:rPr>
                        <w:rFonts w:ascii="Arial"/>
                        <w:color w:val="231F20"/>
                        <w:position w:val="1"/>
                        <w:sz w:val="13"/>
                      </w:rPr>
                      <w:t>Blueschist</w:t>
                    </w:r>
                    <w:r>
                      <w:rPr>
                        <w:rFonts w:ascii="Arial"/>
                        <w:color w:val="231F20"/>
                        <w:spacing w:val="7"/>
                        <w:position w:val="1"/>
                        <w:sz w:val="13"/>
                      </w:rPr>
                      <w:t> </w:t>
                    </w:r>
                    <w:r>
                      <w:rPr>
                        <w:rFonts w:ascii="Arial"/>
                        <w:color w:val="231F20"/>
                        <w:position w:val="1"/>
                        <w:sz w:val="13"/>
                      </w:rPr>
                      <w:t>nappe</w:t>
                    </w:r>
                  </w:p>
                </w:txbxContent>
              </v:textbox>
              <w10:wrap type="none"/>
            </v:shape>
            <v:shape style="position:absolute;left:5172;top:1827;width:385;height:149" type="#_x0000_t202" filled="false" stroked="false">
              <v:textbox inset="0,0,0,0">
                <w:txbxContent>
                  <w:p>
                    <w:pPr>
                      <w:spacing w:line="148" w:lineRule="exact" w:before="0"/>
                      <w:ind w:left="0" w:right="0" w:firstLine="0"/>
                      <w:jc w:val="left"/>
                      <w:rPr>
                        <w:rFonts w:ascii="Arial" w:hAnsi="Arial"/>
                        <w:sz w:val="13"/>
                      </w:rPr>
                    </w:pPr>
                    <w:r>
                      <w:rPr>
                        <w:rFonts w:ascii="Arial" w:hAnsi="Arial"/>
                        <w:color w:val="231F20"/>
                        <w:sz w:val="13"/>
                      </w:rPr>
                      <w:t>47º00'</w:t>
                    </w:r>
                  </w:p>
                </w:txbxContent>
              </v:textbox>
              <w10:wrap type="none"/>
            </v:shape>
            <v:shape style="position:absolute;left:2555;top:1915;width:2204;height:149" type="#_x0000_t202" filled="false" stroked="false">
              <v:textbox inset="0,0,0,0">
                <w:txbxContent>
                  <w:p>
                    <w:pPr>
                      <w:spacing w:line="148" w:lineRule="exact" w:before="0"/>
                      <w:ind w:left="0" w:right="0" w:firstLine="0"/>
                      <w:jc w:val="left"/>
                      <w:rPr>
                        <w:rFonts w:ascii="Arial"/>
                        <w:b/>
                        <w:sz w:val="13"/>
                      </w:rPr>
                    </w:pPr>
                    <w:r>
                      <w:rPr>
                        <w:rFonts w:ascii="Arial"/>
                        <w:b/>
                        <w:color w:val="231F20"/>
                        <w:sz w:val="13"/>
                      </w:rPr>
                      <w:t>Middle Ordovician - Lower Silurian</w:t>
                    </w:r>
                  </w:p>
                </w:txbxContent>
              </v:textbox>
              <w10:wrap type="none"/>
            </v:shape>
            <v:shape style="position:absolute;left:1146;top:1918;width:1318;height:1553" type="#_x0000_t202" filled="false" stroked="false">
              <v:textbox inset="0,0,0,0">
                <w:txbxContent>
                  <w:p>
                    <w:pPr>
                      <w:spacing w:line="145" w:lineRule="exact" w:before="0"/>
                      <w:ind w:left="1" w:right="0" w:firstLine="0"/>
                      <w:jc w:val="left"/>
                      <w:rPr>
                        <w:rFonts w:ascii="Arial"/>
                        <w:b/>
                        <w:sz w:val="13"/>
                      </w:rPr>
                    </w:pPr>
                    <w:r>
                      <w:rPr>
                        <w:rFonts w:ascii="Arial"/>
                        <w:b/>
                        <w:color w:val="231F20"/>
                        <w:sz w:val="13"/>
                      </w:rPr>
                      <w:t>Carboniferous</w:t>
                    </w:r>
                  </w:p>
                  <w:p>
                    <w:pPr>
                      <w:spacing w:line="147" w:lineRule="exact" w:before="0"/>
                      <w:ind w:left="198" w:right="0" w:firstLine="0"/>
                      <w:jc w:val="left"/>
                      <w:rPr>
                        <w:rFonts w:ascii="Arial"/>
                        <w:sz w:val="13"/>
                      </w:rPr>
                    </w:pPr>
                    <w:r>
                      <w:rPr>
                        <w:rFonts w:ascii="Arial"/>
                        <w:color w:val="231F20"/>
                        <w:sz w:val="13"/>
                      </w:rPr>
                      <w:t>Sedimentary rocks</w:t>
                    </w:r>
                  </w:p>
                  <w:p>
                    <w:pPr>
                      <w:spacing w:line="138" w:lineRule="exact" w:before="24"/>
                      <w:ind w:left="2" w:right="0" w:firstLine="0"/>
                      <w:jc w:val="left"/>
                      <w:rPr>
                        <w:rFonts w:ascii="Arial"/>
                        <w:b/>
                        <w:sz w:val="13"/>
                      </w:rPr>
                    </w:pPr>
                    <w:r>
                      <w:rPr>
                        <w:rFonts w:ascii="Arial"/>
                        <w:b/>
                        <w:color w:val="231F20"/>
                        <w:sz w:val="13"/>
                      </w:rPr>
                      <w:t>Upper Silurian</w:t>
                    </w:r>
                  </w:p>
                  <w:p>
                    <w:pPr>
                      <w:spacing w:line="138" w:lineRule="exact" w:before="0"/>
                      <w:ind w:left="2" w:right="0" w:firstLine="0"/>
                      <w:jc w:val="left"/>
                      <w:rPr>
                        <w:rFonts w:ascii="Arial"/>
                        <w:b/>
                        <w:sz w:val="13"/>
                      </w:rPr>
                    </w:pPr>
                    <w:r>
                      <w:rPr>
                        <w:rFonts w:ascii="Arial"/>
                        <w:b/>
                        <w:color w:val="231F20"/>
                        <w:sz w:val="13"/>
                      </w:rPr>
                      <w:t>- Devonian</w:t>
                    </w:r>
                  </w:p>
                  <w:p>
                    <w:pPr>
                      <w:spacing w:line="244" w:lineRule="auto" w:before="7"/>
                      <w:ind w:left="197" w:right="667" w:hanging="1"/>
                      <w:jc w:val="left"/>
                      <w:rPr>
                        <w:rFonts w:ascii="Arial"/>
                        <w:sz w:val="13"/>
                      </w:rPr>
                    </w:pPr>
                    <w:r>
                      <w:rPr>
                        <w:rFonts w:ascii="Arial"/>
                        <w:color w:val="231F20"/>
                        <w:sz w:val="13"/>
                      </w:rPr>
                      <w:t>Granite Gabbro</w:t>
                    </w:r>
                  </w:p>
                  <w:p>
                    <w:pPr>
                      <w:spacing w:line="201" w:lineRule="auto" w:before="16"/>
                      <w:ind w:left="195" w:right="0" w:firstLine="0"/>
                      <w:jc w:val="left"/>
                      <w:rPr>
                        <w:rFonts w:ascii="Arial"/>
                        <w:sz w:val="13"/>
                      </w:rPr>
                    </w:pPr>
                    <w:r>
                      <w:rPr>
                        <w:rFonts w:ascii="Arial"/>
                        <w:color w:val="231F20"/>
                        <w:sz w:val="13"/>
                      </w:rPr>
                      <w:t>Sedimentary and volcanic rocks</w:t>
                    </w:r>
                  </w:p>
                  <w:p>
                    <w:pPr>
                      <w:spacing w:line="119" w:lineRule="exact" w:before="0"/>
                      <w:ind w:left="0" w:right="0" w:firstLine="0"/>
                      <w:jc w:val="left"/>
                      <w:rPr>
                        <w:rFonts w:ascii="Arial"/>
                        <w:b/>
                        <w:sz w:val="13"/>
                      </w:rPr>
                    </w:pPr>
                    <w:r>
                      <w:rPr>
                        <w:rFonts w:ascii="Arial"/>
                        <w:b/>
                        <w:color w:val="231F20"/>
                        <w:sz w:val="13"/>
                      </w:rPr>
                      <w:t>Silurian</w:t>
                    </w:r>
                  </w:p>
                  <w:p>
                    <w:pPr>
                      <w:spacing w:line="201" w:lineRule="auto" w:before="6"/>
                      <w:ind w:left="198" w:right="0" w:firstLine="0"/>
                      <w:jc w:val="left"/>
                      <w:rPr>
                        <w:rFonts w:ascii="Arial"/>
                        <w:sz w:val="13"/>
                      </w:rPr>
                    </w:pPr>
                    <w:r>
                      <w:rPr>
                        <w:rFonts w:ascii="Arial"/>
                        <w:color w:val="231F20"/>
                        <w:sz w:val="13"/>
                      </w:rPr>
                      <w:t>Sedimentary and volcanic rocks</w:t>
                    </w:r>
                  </w:p>
                </w:txbxContent>
              </v:textbox>
              <w10:wrap type="none"/>
            </v:shape>
            <v:shape style="position:absolute;left:5011;top:1223;width:531;height:152" type="#_x0000_t202" filled="false" stroked="false">
              <v:textbox inset="0,0,0,0">
                <w:txbxContent>
                  <w:p>
                    <w:pPr>
                      <w:spacing w:before="1"/>
                      <w:ind w:left="0" w:right="0" w:firstLine="0"/>
                      <w:jc w:val="left"/>
                      <w:rPr>
                        <w:rFonts w:ascii="Arial"/>
                        <w:sz w:val="13"/>
                      </w:rPr>
                    </w:pPr>
                    <w:r>
                      <w:rPr>
                        <w:rFonts w:ascii="Arial"/>
                        <w:color w:val="231F20"/>
                        <w:sz w:val="13"/>
                      </w:rPr>
                      <w:t>km 10</w:t>
                    </w:r>
                  </w:p>
                </w:txbxContent>
              </v:textbox>
              <w10:wrap type="none"/>
            </v:shape>
            <v:shape style="position:absolute;left:4400;top:1222;width:379;height:149" type="#_x0000_t202" filled="false" stroked="false">
              <v:textbox inset="0,0,0,0">
                <w:txbxContent>
                  <w:p>
                    <w:pPr>
                      <w:spacing w:line="148" w:lineRule="exact" w:before="0"/>
                      <w:ind w:left="0" w:right="0" w:firstLine="0"/>
                      <w:jc w:val="left"/>
                      <w:rPr>
                        <w:rFonts w:ascii="Arial"/>
                        <w:sz w:val="13"/>
                      </w:rPr>
                    </w:pPr>
                    <w:r>
                      <w:rPr>
                        <w:rFonts w:ascii="Arial"/>
                        <w:b/>
                        <w:color w:val="231F20"/>
                        <w:sz w:val="12"/>
                      </w:rPr>
                      <w:t>N </w:t>
                    </w:r>
                    <w:r>
                      <w:rPr>
                        <w:rFonts w:ascii="Arial"/>
                        <w:color w:val="231F20"/>
                        <w:sz w:val="13"/>
                      </w:rPr>
                      <w:t>0</w:t>
                    </w:r>
                  </w:p>
                </w:txbxContent>
              </v:textbox>
              <w10:wrap type="none"/>
            </v:shape>
            <v:shape style="position:absolute;left:4996;top:-2536;width:515;height:412" type="#_x0000_t202" filled="false" stroked="false">
              <v:textbox inset="0,0,0,0">
                <w:txbxContent>
                  <w:p>
                    <w:pPr>
                      <w:spacing w:line="148" w:lineRule="exact" w:before="0"/>
                      <w:ind w:left="108" w:right="5" w:firstLine="0"/>
                      <w:jc w:val="center"/>
                      <w:rPr>
                        <w:rFonts w:ascii="Arial" w:hAnsi="Arial"/>
                        <w:sz w:val="13"/>
                      </w:rPr>
                    </w:pPr>
                    <w:r>
                      <w:rPr>
                        <w:rFonts w:ascii="Arial" w:hAnsi="Arial"/>
                        <w:color w:val="231F20"/>
                        <w:sz w:val="13"/>
                      </w:rPr>
                      <w:t>47º45'</w:t>
                    </w:r>
                  </w:p>
                  <w:p>
                    <w:pPr>
                      <w:spacing w:before="114"/>
                      <w:ind w:left="0" w:right="18" w:firstLine="0"/>
                      <w:jc w:val="center"/>
                      <w:rPr>
                        <w:rFonts w:ascii="Arial"/>
                        <w:i/>
                        <w:sz w:val="13"/>
                      </w:rPr>
                    </w:pPr>
                    <w:r>
                      <w:rPr>
                        <w:rFonts w:ascii="Arial"/>
                        <w:i/>
                        <w:color w:val="231F20"/>
                        <w:sz w:val="13"/>
                      </w:rPr>
                      <w:t>Bathurst</w:t>
                    </w:r>
                  </w:p>
                </w:txbxContent>
              </v:textbox>
              <w10:wrap type="none"/>
            </v:shape>
            <w10:wrap type="none"/>
          </v:group>
        </w:pict>
      </w:r>
      <w:r>
        <w:rPr/>
        <w:pict>
          <v:group style="position:absolute;margin-left:282.501007pt;margin-top:-203.286301pt;width:274.75pt;height:189.7pt;mso-position-horizontal-relative:page;mso-position-vertical-relative:paragraph;z-index:-175264" coordorigin="5650,-4066" coordsize="5495,3794">
            <v:shape style="position:absolute;left:5650;top:-4066;width:5495;height:3410" type="#_x0000_t75" stroked="false">
              <v:imagedata r:id="rId200" o:title=""/>
            </v:shape>
            <v:line style="position:absolute" from="7623,-708" to="7859,-708" stroked="true" strokeweight="5.959pt" strokecolor="#faa74a">
              <v:stroke dashstyle="solid"/>
            </v:line>
            <v:rect style="position:absolute;left:7622;top:-768;width:236;height:120" filled="false" stroked="true" strokeweight=".271pt" strokecolor="#231f20">
              <v:stroke dashstyle="solid"/>
            </v:rect>
            <v:line style="position:absolute" from="7617,-877" to="7853,-877" stroked="true" strokeweight="5.959pt" strokecolor="#4ea391">
              <v:stroke dashstyle="solid"/>
            </v:line>
            <v:rect style="position:absolute;left:7616;top:-938;width:236;height:120" filled="false" stroked="true" strokeweight=".271pt" strokecolor="#231f20">
              <v:stroke dashstyle="solid"/>
            </v:rect>
            <v:line style="position:absolute" from="7620,-516" to="7855,-516" stroked="true" strokeweight="5.959pt" strokecolor="#fff9ae">
              <v:stroke dashstyle="solid"/>
            </v:line>
            <v:rect style="position:absolute;left:7619;top:-576;width:236;height:120" filled="false" stroked="true" strokeweight=".271pt" strokecolor="#231f20">
              <v:stroke dashstyle="solid"/>
            </v:rect>
            <v:line style="position:absolute" from="5727,-886" to="5962,-886" stroked="true" strokeweight="5.959pt" strokecolor="#fcd3c1">
              <v:stroke dashstyle="solid"/>
            </v:line>
            <v:rect style="position:absolute;left:5726;top:-946;width:236;height:120" filled="false" stroked="true" strokeweight=".271pt" strokecolor="#231f20">
              <v:stroke dashstyle="solid"/>
            </v:rect>
            <v:line style="position:absolute" from="5730,-703" to="5966,-703" stroked="true" strokeweight="5.959pt" strokecolor="#f05b72">
              <v:stroke dashstyle="solid"/>
            </v:line>
            <v:rect style="position:absolute;left:5730;top:-763;width:236;height:120" filled="false" stroked="true" strokeweight=".271pt" strokecolor="#231f20">
              <v:stroke dashstyle="solid"/>
            </v:rect>
            <v:shape style="position:absolute;left:5727;top:-395;width:239;height:120" coordorigin="5727,-394" coordsize="239,120" path="m5966,-394l5727,-275,5966,-275,5966,-394xe" filled="true" fillcolor="#0095da" stroked="false">
              <v:path arrowok="t"/>
              <v:fill type="solid"/>
            </v:shape>
            <v:shape style="position:absolute;left:5727;top:-395;width:239;height:120" coordorigin="5727,-394" coordsize="239,120" path="m5727,-275l5966,-394,5966,-275,5727,-275xe" filled="false" stroked="true" strokeweight=".271pt" strokecolor="#231f20">
              <v:path arrowok="t"/>
              <v:stroke dashstyle="solid"/>
            </v:shape>
            <w10:wrap type="none"/>
          </v:group>
        </w:pict>
      </w:r>
      <w:r>
        <w:rPr/>
        <w:pict>
          <v:shape style="position:absolute;margin-left:53.937065pt;margin-top:59.916634pt;width:9.450pt;height:30.95pt;mso-position-horizontal-relative:page;mso-position-vertical-relative:paragraph;z-index:8104" type="#_x0000_t202" filled="false" stroked="false">
            <v:textbox inset="0,0,0,0" style="layout-flow:vertical;mso-layout-flow-alt:bottom-to-top">
              <w:txbxContent>
                <w:p>
                  <w:pPr>
                    <w:spacing w:before="18"/>
                    <w:ind w:left="20" w:right="0" w:firstLine="0"/>
                    <w:jc w:val="left"/>
                    <w:rPr>
                      <w:rFonts w:ascii="Arial" w:hAnsi="Arial"/>
                      <w:sz w:val="13"/>
                    </w:rPr>
                  </w:pPr>
                  <w:r>
                    <w:rPr>
                      <w:rFonts w:ascii="Arial" w:hAnsi="Arial"/>
                      <w:color w:val="231F20"/>
                      <w:sz w:val="13"/>
                    </w:rPr>
                    <w:t>66º 37'30"</w:t>
                  </w:r>
                </w:p>
              </w:txbxContent>
            </v:textbox>
            <w10:wrap type="none"/>
          </v:shape>
        </w:pict>
      </w:r>
      <w:r>
        <w:rPr/>
        <w:pict>
          <v:shape style="position:absolute;margin-left:269.335449pt;margin-top:69.027687pt;width:9.450pt;height:21.2pt;mso-position-horizontal-relative:page;mso-position-vertical-relative:paragraph;z-index:8176" type="#_x0000_t202" filled="false" stroked="false">
            <v:textbox inset="0,0,0,0" style="layout-flow:vertical;mso-layout-flow-alt:bottom-to-top">
              <w:txbxContent>
                <w:p>
                  <w:pPr>
                    <w:spacing w:before="18"/>
                    <w:ind w:left="20" w:right="0" w:firstLine="0"/>
                    <w:jc w:val="left"/>
                    <w:rPr>
                      <w:rFonts w:ascii="Arial" w:hAnsi="Arial"/>
                      <w:sz w:val="13"/>
                    </w:rPr>
                  </w:pPr>
                  <w:r>
                    <w:rPr>
                      <w:rFonts w:ascii="Arial" w:hAnsi="Arial"/>
                      <w:color w:val="231F20"/>
                      <w:sz w:val="13"/>
                    </w:rPr>
                    <w:t>65º30'</w:t>
                  </w:r>
                </w:p>
              </w:txbxContent>
            </v:textbox>
            <w10:wrap type="none"/>
          </v:shape>
        </w:pict>
      </w:r>
      <w:r>
        <w:rPr/>
        <w:pict>
          <v:shape style="position:absolute;margin-left:281.81189pt;margin-top:-83.089523pt;width:7.65pt;height:27.7pt;mso-position-horizontal-relative:page;mso-position-vertical-relative:paragraph;z-index:-175144" type="#_x0000_t202" filled="false" stroked="false">
            <v:textbox inset="0,0,0,0" style="layout-flow:vertical;mso-layout-flow-alt:bottom-to-top">
              <w:txbxContent>
                <w:p>
                  <w:pPr>
                    <w:spacing w:before="17"/>
                    <w:ind w:left="20" w:right="0" w:firstLine="0"/>
                    <w:jc w:val="left"/>
                    <w:rPr>
                      <w:rFonts w:ascii="Arial" w:hAnsi="Arial"/>
                      <w:sz w:val="10"/>
                    </w:rPr>
                  </w:pPr>
                  <w:r>
                    <w:rPr>
                      <w:rFonts w:ascii="Arial" w:hAnsi="Arial"/>
                      <w:color w:val="231F20"/>
                      <w:sz w:val="10"/>
                    </w:rPr>
                    <w:t>100°15'00"</w:t>
                  </w:r>
                </w:p>
              </w:txbxContent>
            </v:textbox>
            <w10:wrap type="none"/>
          </v:shape>
        </w:pict>
      </w:r>
      <w:r>
        <w:rPr/>
        <w:pict>
          <v:shape style="position:absolute;margin-left:111.743112pt;margin-top:-22.318349pt;width:.7pt;height:2.4pt;mso-position-horizontal-relative:page;mso-position-vertical-relative:paragraph;z-index:8248;rotation:282" type="#_x0000_t136" fillcolor="#231f20" stroked="f">
            <o:extrusion v:ext="view" autorotationcenter="t"/>
            <v:textpath style="font-family:&amp;quot;Arial&amp;quot;;font-size:2pt;v-text-kern:t;mso-text-shadow:auto" string="I"/>
            <w10:wrap type="none"/>
          </v:shape>
        </w:pict>
      </w:r>
      <w:r>
        <w:rPr>
          <w:b/>
          <w:color w:val="231F20"/>
          <w:sz w:val="16"/>
        </w:rPr>
        <w:t>F</w:t>
      </w:r>
      <w:r>
        <w:rPr>
          <w:b/>
          <w:color w:val="231F20"/>
          <w:sz w:val="16"/>
          <w:vertAlign w:val="subscript"/>
        </w:rPr>
        <w:t>IGURE</w:t>
      </w:r>
      <w:r>
        <w:rPr>
          <w:b/>
          <w:color w:val="231F20"/>
          <w:sz w:val="16"/>
          <w:vertAlign w:val="baseline"/>
        </w:rPr>
        <w:t> 17. </w:t>
      </w:r>
      <w:r>
        <w:rPr>
          <w:color w:val="231F20"/>
          <w:sz w:val="16"/>
          <w:vertAlign w:val="baseline"/>
        </w:rPr>
        <w:t>Examples of clusters of VMS deposits defining a mining camp. These include </w:t>
      </w:r>
      <w:r>
        <w:rPr>
          <w:b/>
          <w:color w:val="231F20"/>
          <w:sz w:val="16"/>
          <w:vertAlign w:val="baseline"/>
        </w:rPr>
        <w:t>(A) </w:t>
      </w:r>
      <w:r>
        <w:rPr>
          <w:color w:val="231F20"/>
          <w:sz w:val="16"/>
          <w:vertAlign w:val="baseline"/>
        </w:rPr>
        <w:t>the Archean Noranda camp, with 14 bimodal mafic-type deposits underlain by the Flavrian-Powell subvolcanic intrusion (Santaguida et al., 1998); </w:t>
      </w:r>
      <w:r>
        <w:rPr>
          <w:b/>
          <w:color w:val="231F20"/>
          <w:sz w:val="16"/>
          <w:vertAlign w:val="baseline"/>
        </w:rPr>
        <w:t>(B) </w:t>
      </w:r>
      <w:r>
        <w:rPr>
          <w:color w:val="231F20"/>
          <w:sz w:val="16"/>
          <w:vertAlign w:val="baseline"/>
        </w:rPr>
        <w:t>the Paleoproterozoic Flin Flon mining camp, Manitoba, with 17 VMS deposits hosted within a series of block-bounded terranes representing dif- ferent stages of oceanic arc development. For this reason, the district contains a wide variety of VMS deposit types (Syme and Bailes, 1993; Galley and Jonasson,</w:t>
      </w:r>
      <w:r>
        <w:rPr>
          <w:color w:val="231F20"/>
          <w:spacing w:val="-7"/>
          <w:sz w:val="16"/>
          <w:vertAlign w:val="baseline"/>
        </w:rPr>
        <w:t> </w:t>
      </w:r>
      <w:r>
        <w:rPr>
          <w:color w:val="231F20"/>
          <w:sz w:val="16"/>
          <w:vertAlign w:val="baseline"/>
        </w:rPr>
        <w:t>2003);</w:t>
      </w:r>
      <w:r>
        <w:rPr>
          <w:color w:val="231F20"/>
          <w:spacing w:val="-7"/>
          <w:sz w:val="16"/>
          <w:vertAlign w:val="baseline"/>
        </w:rPr>
        <w:t> </w:t>
      </w:r>
      <w:r>
        <w:rPr>
          <w:b/>
          <w:color w:val="231F20"/>
          <w:sz w:val="16"/>
          <w:vertAlign w:val="baseline"/>
        </w:rPr>
        <w:t>(C)</w:t>
      </w:r>
      <w:r>
        <w:rPr>
          <w:b/>
          <w:color w:val="231F20"/>
          <w:spacing w:val="-6"/>
          <w:sz w:val="16"/>
          <w:vertAlign w:val="baseline"/>
        </w:rPr>
        <w:t> </w:t>
      </w:r>
      <w:r>
        <w:rPr>
          <w:color w:val="231F20"/>
          <w:sz w:val="16"/>
          <w:vertAlign w:val="baseline"/>
        </w:rPr>
        <w:t>the</w:t>
      </w:r>
      <w:r>
        <w:rPr>
          <w:color w:val="231F20"/>
          <w:spacing w:val="-7"/>
          <w:sz w:val="16"/>
          <w:vertAlign w:val="baseline"/>
        </w:rPr>
        <w:t> </w:t>
      </w:r>
      <w:r>
        <w:rPr>
          <w:color w:val="231F20"/>
          <w:sz w:val="16"/>
          <w:vertAlign w:val="baseline"/>
        </w:rPr>
        <w:t>Paleoproterozoic</w:t>
      </w:r>
      <w:r>
        <w:rPr>
          <w:color w:val="231F20"/>
          <w:spacing w:val="-7"/>
          <w:sz w:val="16"/>
          <w:vertAlign w:val="baseline"/>
        </w:rPr>
        <w:t> </w:t>
      </w:r>
      <w:r>
        <w:rPr>
          <w:color w:val="231F20"/>
          <w:sz w:val="16"/>
          <w:vertAlign w:val="baseline"/>
        </w:rPr>
        <w:t>Snow</w:t>
      </w:r>
      <w:r>
        <w:rPr>
          <w:color w:val="231F20"/>
          <w:spacing w:val="-7"/>
          <w:sz w:val="16"/>
          <w:vertAlign w:val="baseline"/>
        </w:rPr>
        <w:t> </w:t>
      </w:r>
      <w:r>
        <w:rPr>
          <w:color w:val="231F20"/>
          <w:sz w:val="16"/>
          <w:vertAlign w:val="baseline"/>
        </w:rPr>
        <w:t>Lake</w:t>
      </w:r>
      <w:r>
        <w:rPr>
          <w:color w:val="231F20"/>
          <w:spacing w:val="-7"/>
          <w:sz w:val="16"/>
          <w:vertAlign w:val="baseline"/>
        </w:rPr>
        <w:t> </w:t>
      </w:r>
      <w:r>
        <w:rPr>
          <w:color w:val="231F20"/>
          <w:sz w:val="16"/>
          <w:vertAlign w:val="baseline"/>
        </w:rPr>
        <w:t>camp,</w:t>
      </w:r>
      <w:r>
        <w:rPr>
          <w:color w:val="231F20"/>
          <w:spacing w:val="-7"/>
          <w:sz w:val="16"/>
          <w:vertAlign w:val="baseline"/>
        </w:rPr>
        <w:t> </w:t>
      </w:r>
      <w:r>
        <w:rPr>
          <w:color w:val="231F20"/>
          <w:sz w:val="16"/>
          <w:vertAlign w:val="baseline"/>
        </w:rPr>
        <w:t>Manitoba,</w:t>
      </w:r>
      <w:r>
        <w:rPr>
          <w:color w:val="231F20"/>
          <w:spacing w:val="-7"/>
          <w:sz w:val="16"/>
          <w:vertAlign w:val="baseline"/>
        </w:rPr>
        <w:t> </w:t>
      </w:r>
      <w:r>
        <w:rPr>
          <w:color w:val="231F20"/>
          <w:sz w:val="16"/>
          <w:vertAlign w:val="baseline"/>
        </w:rPr>
        <w:t>with</w:t>
      </w:r>
      <w:r>
        <w:rPr>
          <w:color w:val="231F20"/>
          <w:spacing w:val="-7"/>
          <w:sz w:val="16"/>
          <w:vertAlign w:val="baseline"/>
        </w:rPr>
        <w:t> </w:t>
      </w:r>
      <w:r>
        <w:rPr>
          <w:color w:val="231F20"/>
          <w:sz w:val="16"/>
          <w:vertAlign w:val="baseline"/>
        </w:rPr>
        <w:t>two subvolcanic intrusions (Sneath Lake and Richard Lake) that instigated two sepa- rate hydrothermal events and formed 8 bimodal mafic deposits (modified from Bailes and </w:t>
      </w:r>
      <w:r>
        <w:rPr>
          <w:color w:val="231F20"/>
          <w:spacing w:val="-3"/>
          <w:sz w:val="16"/>
          <w:vertAlign w:val="baseline"/>
        </w:rPr>
        <w:t>Galley, </w:t>
      </w:r>
      <w:r>
        <w:rPr>
          <w:color w:val="231F20"/>
          <w:sz w:val="16"/>
          <w:vertAlign w:val="baseline"/>
        </w:rPr>
        <w:t>1999); and </w:t>
      </w:r>
      <w:r>
        <w:rPr>
          <w:b/>
          <w:color w:val="231F20"/>
          <w:sz w:val="16"/>
          <w:vertAlign w:val="baseline"/>
        </w:rPr>
        <w:t>(D) </w:t>
      </w:r>
      <w:r>
        <w:rPr>
          <w:color w:val="231F20"/>
          <w:sz w:val="16"/>
          <w:vertAlign w:val="baseline"/>
        </w:rPr>
        <w:t>the Ordovician Bathurst mining camp with 35 deposits dominated by the bimodal siliciclastic deposit type (modified from van Staal et al.,</w:t>
      </w:r>
      <w:r>
        <w:rPr>
          <w:color w:val="231F20"/>
          <w:spacing w:val="10"/>
          <w:sz w:val="16"/>
          <w:vertAlign w:val="baseline"/>
        </w:rPr>
        <w:t> </w:t>
      </w:r>
      <w:r>
        <w:rPr>
          <w:color w:val="231F20"/>
          <w:sz w:val="16"/>
          <w:vertAlign w:val="baseline"/>
        </w:rPr>
        <w:t>2003).</w:t>
      </w:r>
    </w:p>
    <w:p>
      <w:pPr>
        <w:pStyle w:val="BodyText"/>
      </w:pPr>
    </w:p>
    <w:p>
      <w:pPr>
        <w:pStyle w:val="BodyText"/>
      </w:pPr>
    </w:p>
    <w:p>
      <w:pPr>
        <w:pStyle w:val="BodyText"/>
      </w:pPr>
    </w:p>
    <w:p>
      <w:pPr>
        <w:pStyle w:val="BodyText"/>
        <w:spacing w:before="2"/>
        <w:rPr>
          <w:sz w:val="28"/>
        </w:rPr>
      </w:pPr>
    </w:p>
    <w:p>
      <w:pPr>
        <w:spacing w:after="0"/>
        <w:rPr>
          <w:sz w:val="28"/>
        </w:rPr>
        <w:sectPr>
          <w:pgSz w:w="12240" w:h="15840"/>
          <w:pgMar w:header="673" w:footer="779" w:top="1000" w:bottom="960" w:left="0" w:right="0"/>
        </w:sectPr>
      </w:pPr>
    </w:p>
    <w:p>
      <w:pPr>
        <w:pStyle w:val="BodyText"/>
        <w:spacing w:line="230" w:lineRule="auto" w:before="122"/>
        <w:ind w:left="1115"/>
        <w:jc w:val="both"/>
      </w:pPr>
      <w:r>
        <w:rPr>
          <w:color w:val="231F20"/>
        </w:rPr>
        <w:t>sulphide-silicate-sulphate </w:t>
      </w:r>
      <w:r>
        <w:rPr>
          <w:color w:val="231F20"/>
          <w:spacing w:val="1"/>
        </w:rPr>
        <w:t>chimneys </w:t>
      </w:r>
      <w:r>
        <w:rPr>
          <w:color w:val="231F20"/>
        </w:rPr>
        <w:t>(Fig. </w:t>
      </w:r>
      <w:r>
        <w:rPr>
          <w:color w:val="231F20"/>
          <w:spacing w:val="1"/>
        </w:rPr>
        <w:t>19A). </w:t>
      </w:r>
      <w:r>
        <w:rPr>
          <w:color w:val="231F20"/>
          <w:spacing w:val="2"/>
        </w:rPr>
        <w:t>These </w:t>
      </w:r>
      <w:r>
        <w:rPr>
          <w:color w:val="231F20"/>
        </w:rPr>
        <w:t>become structurally unstable with continued growth and</w:t>
      </w:r>
      <w:r>
        <w:rPr>
          <w:color w:val="231F20"/>
          <w:spacing w:val="-35"/>
        </w:rPr>
        <w:t> </w:t>
      </w:r>
      <w:r>
        <w:rPr>
          <w:color w:val="231F20"/>
        </w:rPr>
        <w:t>col- lapse, and coalesce to form a breccia mound (Fig. 19A,C). Continued circulation of hydrothermal fluids within this breccia mound results in sealing from seawater by a silica, </w:t>
      </w:r>
      <w:r>
        <w:rPr>
          <w:color w:val="231F20"/>
          <w:spacing w:val="-3"/>
        </w:rPr>
        <w:t>clay, </w:t>
      </w:r>
      <w:r>
        <w:rPr>
          <w:color w:val="231F20"/>
        </w:rPr>
        <w:t>and/or sulphate cap. Progressive deposition of metal sulphides within the mound results in the formation of a complexly textured, semimassive to massive sulphide mound. The flow of hydrothermal fluid through the mound structure</w:t>
      </w:r>
      <w:r>
        <w:rPr>
          <w:color w:val="231F20"/>
          <w:spacing w:val="15"/>
        </w:rPr>
        <w:t> </w:t>
      </w:r>
      <w:r>
        <w:rPr>
          <w:color w:val="231F20"/>
        </w:rPr>
        <w:t>commonly</w:t>
      </w:r>
      <w:r>
        <w:rPr>
          <w:color w:val="231F20"/>
          <w:spacing w:val="15"/>
        </w:rPr>
        <w:t> </w:t>
      </w:r>
      <w:r>
        <w:rPr>
          <w:color w:val="231F20"/>
        </w:rPr>
        <w:t>results</w:t>
      </w:r>
      <w:r>
        <w:rPr>
          <w:color w:val="231F20"/>
          <w:spacing w:val="15"/>
        </w:rPr>
        <w:t> </w:t>
      </w:r>
      <w:r>
        <w:rPr>
          <w:color w:val="231F20"/>
        </w:rPr>
        <w:t>in</w:t>
      </w:r>
      <w:r>
        <w:rPr>
          <w:color w:val="231F20"/>
          <w:spacing w:val="15"/>
        </w:rPr>
        <w:t> </w:t>
      </w:r>
      <w:r>
        <w:rPr>
          <w:color w:val="231F20"/>
        </w:rPr>
        <w:t>remobilization</w:t>
      </w:r>
      <w:r>
        <w:rPr>
          <w:color w:val="231F20"/>
          <w:spacing w:val="15"/>
        </w:rPr>
        <w:t> </w:t>
      </w:r>
      <w:r>
        <w:rPr>
          <w:color w:val="231F20"/>
        </w:rPr>
        <w:t>of</w:t>
      </w:r>
      <w:r>
        <w:rPr>
          <w:color w:val="231F20"/>
          <w:spacing w:val="15"/>
        </w:rPr>
        <w:t> </w:t>
      </w:r>
      <w:r>
        <w:rPr>
          <w:color w:val="231F20"/>
        </w:rPr>
        <w:t>previously</w:t>
      </w:r>
    </w:p>
    <w:p>
      <w:pPr>
        <w:pStyle w:val="BodyText"/>
        <w:spacing w:line="230" w:lineRule="auto" w:before="122"/>
        <w:ind w:left="315" w:right="1080"/>
        <w:jc w:val="both"/>
      </w:pPr>
      <w:r>
        <w:rPr/>
        <w:br w:type="column"/>
      </w:r>
      <w:r>
        <w:rPr>
          <w:color w:val="231F20"/>
        </w:rPr>
        <w:t>deposited metals along a chemical and temperature gradient perpendicular to the seawater interface. This process is referred</w:t>
      </w:r>
      <w:r>
        <w:rPr>
          <w:color w:val="231F20"/>
          <w:spacing w:val="-8"/>
        </w:rPr>
        <w:t> </w:t>
      </w:r>
      <w:r>
        <w:rPr>
          <w:color w:val="231F20"/>
        </w:rPr>
        <w:t>to</w:t>
      </w:r>
      <w:r>
        <w:rPr>
          <w:color w:val="231F20"/>
          <w:spacing w:val="-8"/>
        </w:rPr>
        <w:t> </w:t>
      </w:r>
      <w:r>
        <w:rPr>
          <w:color w:val="231F20"/>
        </w:rPr>
        <w:t>as</w:t>
      </w:r>
      <w:r>
        <w:rPr>
          <w:color w:val="231F20"/>
          <w:spacing w:val="-8"/>
        </w:rPr>
        <w:t> </w:t>
      </w:r>
      <w:r>
        <w:rPr>
          <w:color w:val="231F20"/>
        </w:rPr>
        <w:t>zone</w:t>
      </w:r>
      <w:r>
        <w:rPr>
          <w:color w:val="231F20"/>
          <w:spacing w:val="-8"/>
        </w:rPr>
        <w:t> </w:t>
      </w:r>
      <w:r>
        <w:rPr>
          <w:color w:val="231F20"/>
        </w:rPr>
        <w:t>refining</w:t>
      </w:r>
      <w:r>
        <w:rPr>
          <w:color w:val="231F20"/>
          <w:spacing w:val="-8"/>
        </w:rPr>
        <w:t> </w:t>
      </w:r>
      <w:r>
        <w:rPr>
          <w:color w:val="231F20"/>
        </w:rPr>
        <w:t>(Eldridge</w:t>
      </w:r>
      <w:r>
        <w:rPr>
          <w:color w:val="231F20"/>
          <w:spacing w:val="-8"/>
        </w:rPr>
        <w:t> </w:t>
      </w:r>
      <w:r>
        <w:rPr>
          <w:color w:val="231F20"/>
        </w:rPr>
        <w:t>et</w:t>
      </w:r>
      <w:r>
        <w:rPr>
          <w:color w:val="231F20"/>
          <w:spacing w:val="-8"/>
        </w:rPr>
        <w:t> </w:t>
      </w:r>
      <w:r>
        <w:rPr>
          <w:color w:val="231F20"/>
        </w:rPr>
        <w:t>al.,</w:t>
      </w:r>
      <w:r>
        <w:rPr>
          <w:color w:val="231F20"/>
          <w:spacing w:val="-8"/>
        </w:rPr>
        <w:t> </w:t>
      </w:r>
      <w:r>
        <w:rPr>
          <w:color w:val="231F20"/>
        </w:rPr>
        <w:t>1983)</w:t>
      </w:r>
      <w:r>
        <w:rPr>
          <w:color w:val="231F20"/>
          <w:spacing w:val="-8"/>
        </w:rPr>
        <w:t> </w:t>
      </w:r>
      <w:r>
        <w:rPr>
          <w:color w:val="231F20"/>
        </w:rPr>
        <w:t>and</w:t>
      </w:r>
      <w:r>
        <w:rPr>
          <w:color w:val="231F20"/>
          <w:spacing w:val="-8"/>
        </w:rPr>
        <w:t> </w:t>
      </w:r>
      <w:r>
        <w:rPr>
          <w:color w:val="231F20"/>
        </w:rPr>
        <w:t>results in a chalcopyrite±pyrrhotite-rich core and a sphalerite± pyrite±galena-rich outer zone (Fig. 20). In extreme cases, much</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base</w:t>
      </w:r>
      <w:r>
        <w:rPr>
          <w:color w:val="231F20"/>
          <w:spacing w:val="-5"/>
        </w:rPr>
        <w:t> </w:t>
      </w:r>
      <w:r>
        <w:rPr>
          <w:color w:val="231F20"/>
        </w:rPr>
        <w:t>and</w:t>
      </w:r>
      <w:r>
        <w:rPr>
          <w:color w:val="231F20"/>
          <w:spacing w:val="-5"/>
        </w:rPr>
        <w:t> </w:t>
      </w:r>
      <w:r>
        <w:rPr>
          <w:color w:val="231F20"/>
        </w:rPr>
        <w:t>precious</w:t>
      </w:r>
      <w:r>
        <w:rPr>
          <w:color w:val="231F20"/>
          <w:spacing w:val="-5"/>
        </w:rPr>
        <w:t> </w:t>
      </w:r>
      <w:r>
        <w:rPr>
          <w:color w:val="231F20"/>
        </w:rPr>
        <w:t>metals</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remobilized</w:t>
      </w:r>
      <w:r>
        <w:rPr>
          <w:color w:val="231F20"/>
          <w:spacing w:val="-5"/>
        </w:rPr>
        <w:t> </w:t>
      </w:r>
      <w:r>
        <w:rPr>
          <w:color w:val="231F20"/>
        </w:rPr>
        <w:t>out of the sulphide mound and carried into the seawater column by venting hydrothermal fluids and spent fluids (hot seawa- ter). Massive pyritic cores and thin, base- and precious- metal-enriched outer margins are a characteristic</w:t>
      </w:r>
      <w:r>
        <w:rPr>
          <w:color w:val="231F20"/>
          <w:spacing w:val="-22"/>
        </w:rPr>
        <w:t> </w:t>
      </w:r>
      <w:r>
        <w:rPr>
          <w:color w:val="231F20"/>
        </w:rPr>
        <w:t>of VMS</w:t>
      </w:r>
    </w:p>
    <w:p>
      <w:pPr>
        <w:spacing w:after="0" w:line="230" w:lineRule="auto"/>
        <w:jc w:val="both"/>
        <w:sectPr>
          <w:type w:val="continuous"/>
          <w:pgSz w:w="12240" w:h="15840"/>
          <w:pgMar w:top="920" w:bottom="280" w:left="0" w:right="0"/>
          <w:cols w:num="2" w:equalWidth="0">
            <w:col w:w="5960" w:space="40"/>
            <w:col w:w="6240"/>
          </w:cols>
        </w:sectPr>
      </w:pPr>
    </w:p>
    <w:p>
      <w:pPr>
        <w:rPr>
          <w:sz w:val="2"/>
          <w:szCs w:val="2"/>
        </w:rPr>
      </w:pPr>
      <w:r>
        <w:rPr/>
        <w:pict>
          <v:group style="position:absolute;margin-left:54.685001pt;margin-top:61.194pt;width:503.85pt;height:246.65pt;mso-position-horizontal-relative:page;mso-position-vertical-relative:page;z-index:-175624" coordorigin="1094,1224" coordsize="10077,4933">
            <v:shape style="position:absolute;left:1868;top:1270;width:1127;height:416" coordorigin="1869,1270" coordsize="1127,416" path="m2678,1316l2001,1316,2038,1323,2043,1369,2070,1430,2158,1465,2321,1533,2465,1566,2749,1606,2915,1641,2995,1685,2678,1316xm2638,1270l1869,1273,1927,1345,1953,1332,2001,1316,2678,1316,2638,1270xe" filled="true" fillcolor="#fff685" stroked="false">
              <v:path arrowok="t"/>
              <v:fill type="solid"/>
            </v:shape>
            <v:shape style="position:absolute;left:1868;top:1270;width:1127;height:416" coordorigin="1869,1270" coordsize="1127,416" path="m2995,1685l2915,1641,2749,1606,2465,1566,2321,1533,2158,1465,2070,1430,2043,1369,2038,1323,2001,1316,1953,1332,1927,1345,1869,1273,2638,1270,2995,1685xe" filled="false" stroked="true" strokeweight=".279pt" strokecolor="#231f20">
              <v:path arrowok="t"/>
              <v:stroke dashstyle="solid"/>
            </v:shape>
            <v:shape style="position:absolute;left:1878;top:4284;width:2658;height:742" coordorigin="1879,4285" coordsize="2658,742" path="m2429,4645l2400,4650,2380,4655,2346,4669,2325,4682,2301,4700,2287,4714,2239,4756,2147,4816,1879,5026,3503,5026,3396,4831,3431,4822,3886,4645,2456,4645,2429,4645xm4324,4631l3925,4631,3899,4704,3883,4722,3882,4736,3890,4751,3914,4760,3927,4759,3952,4755,3977,4750,4020,4742,4064,4742,4113,4713,4142,4703,4190,4688,4215,4676,4324,4631xm4064,4742l4020,4742,4054,4747,4064,4742xm3771,4285l2515,4632,2486,4642,2456,4645,3886,4645,3925,4631,4324,4631,4331,4627,4346,4623,4366,4621,4384,4617,4402,4606,4428,4593,4433,4538,4480,4517,4503,4508,4409,4508,4207,4506,4124,4496,4058,4432,3973,4400,3963,4371,3771,4285xm4536,4494l4409,4508,4503,4508,4536,4494xe" filled="true" fillcolor="#fffcd5" stroked="false">
              <v:path arrowok="t"/>
              <v:fill type="solid"/>
            </v:shape>
            <v:shape style="position:absolute;left:1878;top:4284;width:2658;height:742" coordorigin="1879,4285" coordsize="2658,742" path="m4166,4695l4190,4688,4215,4676,4257,4659,4305,4639,4331,4627,4346,4623,4366,4621,4384,4617,4402,4606,4428,4593,4433,4538,4480,4517,4498,4510,4536,4494,4409,4508,4207,4506,4124,4496,4058,4432,3973,4400,3963,4371,3771,4285,2515,4632,2486,4642,2456,4645,2380,4655,2325,4682,2287,4714,2239,4756,2147,4816,1879,5026,3503,5026,3396,4831,3431,4822,3925,4631,3899,4704,3883,4722,3882,4736,3890,4751,3914,4760,3927,4759,3952,4755,3977,4750,4020,4742,4054,4747,4113,4713,4142,4703,4166,4695xe" filled="false" stroked="true" strokeweight=".279pt" strokecolor="#231f20">
              <v:path arrowok="t"/>
              <v:stroke dashstyle="solid"/>
            </v:shape>
            <v:shape style="position:absolute;left:1149;top:1276;width:1140;height:3340" coordorigin="1149,1276" coordsize="1140,3340" path="m1149,1276l1149,4616,1383,4449,1247,4326,1252,4255,1776,3897,1865,3511,2018,3025,1947,2839,2035,2391,2216,2154,2289,1923,2276,1811,2232,1730,2080,1610,1847,1440,1519,1278,1149,1276xe" filled="true" fillcolor="#9bd3ae" stroked="false">
              <v:path arrowok="t"/>
              <v:fill type="solid"/>
            </v:shape>
            <v:shape style="position:absolute;left:1149;top:1276;width:1140;height:3340" coordorigin="1149,1276" coordsize="1140,3340" path="m1149,1276l1149,4616,1383,4449,1247,4326,1252,4255,1776,3897,1865,3511,2018,3025,1947,2839,2035,2391,2216,2154,2289,1923,2276,1811,2232,1730,2080,1610,1847,1440,1519,1278,1149,1276xe" filled="false" stroked="true" strokeweight=".279pt" strokecolor="#231f20">
              <v:path arrowok="t"/>
              <v:stroke dashstyle="solid"/>
            </v:shape>
            <v:shape style="position:absolute;left:1146;top:1263;width:4346;height:3766" type="#_x0000_t75" stroked="false">
              <v:imagedata r:id="rId201" o:title=""/>
            </v:shape>
            <v:line style="position:absolute" from="5533,5026" to="1150,5026" stroked="true" strokeweight=".279pt" strokecolor="#231f20">
              <v:stroke dashstyle="solid"/>
            </v:line>
            <v:shape style="position:absolute;left:1151;top:4124;width:408;height:864" coordorigin="1152,4124" coordsize="408,864" path="m1542,4928l1400,4928,1411,4937,1428,4963,1449,4972,1466,4984,1478,4988,1494,4982,1502,4977,1520,4959,1526,4945,1531,4936,1542,4928xm1274,4546l1247,4571,1253,4597,1254,4647,1265,4693,1216,4808,1202,4858,1230,4864,1239,4870,1249,4883,1252,4893,1254,4907,1249,4918,1250,4938,1265,4956,1290,4974,1308,4976,1332,4974,1346,4967,1367,4956,1375,4949,1381,4937,1385,4933,1400,4928,1542,4928,1544,4927,1560,4923,1557,4909,1557,4893,1556,4883,1554,4870,1553,4855,1547,4842,1531,4838,1523,4833,1514,4825,1506,4818,1491,4802,1489,4791,1486,4771,1486,4752,1487,4737,1487,4716,1484,4698,1473,4680,1456,4667,1446,4658,1442,4653,1441,4648,1443,4642,1449,4636,1416,4578,1408,4566,1294,4566,1285,4561,1274,4546xm1319,4427l1262,4427,1272,4436,1275,4454,1275,4462,1272,4479,1273,4487,1277,4500,1283,4518,1287,4528,1293,4535,1303,4542,1309,4551,1309,4561,1294,4566,1408,4566,1370,4508,1358,4493,1351,4484,1335,4469,1322,4460,1314,4450,1314,4434,1319,4427xm1347,4405l1222,4405,1227,4414,1231,4427,1235,4446,1243,4433,1254,4427,1319,4427,1323,4422,1332,4415,1342,4412,1347,4405xm1152,4288l1152,4354,1163,4365,1164,4374,1165,4391,1171,4408,1178,4418,1186,4423,1199,4427,1205,4429,1211,4430,1212,4427,1213,4417,1215,4410,1217,4406,1222,4405,1347,4405,1354,4397,1356,4382,1346,4374,1332,4363,1318,4354,1304,4348,1303,4344,1303,4338,1313,4324,1316,4310,1328,4301,1344,4291,1167,4291,1155,4291,1152,4288xm1217,4124l1202,4129,1191,4137,1177,4146,1169,4157,1160,4177,1154,4193,1152,4200,1152,4217,1155,4224,1163,4248,1178,4278,1178,4280,1167,4291,1344,4291,1351,4287,1357,4274,1347,4261,1338,4248,1283,4207,1265,4188,1254,4167,1244,4143,1227,4126,1217,4124xe" filled="true" fillcolor="#ffe6ca" stroked="false">
              <v:path arrowok="t"/>
              <v:fill type="solid"/>
            </v:shape>
            <v:shape style="position:absolute;left:1151;top:4124;width:408;height:864" coordorigin="1152,4124" coordsize="408,864" path="m1152,4217l1152,4200,1154,4193,1191,4137,1217,4124,1227,4126,1244,4143,1254,4167,1265,4188,1283,4207,1338,4248,1347,4261,1357,4274,1351,4287,1328,4301,1316,4310,1313,4324,1303,4338,1303,4344,1304,4348,1318,4354,1332,4363,1346,4374,1356,4382,1354,4397,1342,4412,1332,4415,1323,4422,1314,4434,1314,4450,1322,4460,1335,4469,1351,4484,1358,4493,1370,4508,1416,4578,1449,4636,1443,4642,1441,4648,1442,4653,1446,4658,1456,4667,1473,4680,1484,4698,1487,4716,1487,4737,1486,4752,1486,4771,1489,4791,1491,4802,1506,4818,1514,4825,1523,4833,1531,4838,1547,4842,1553,4855,1554,4870,1556,4883,1557,4895,1557,4909,1560,4923,1544,4927,1531,4936,1526,4945,1520,4959,1502,4977,1494,4982,1478,4988,1466,4984,1449,4972,1428,4963,1411,4937,1400,4928,1385,4933,1381,4937,1375,4949,1367,4956,1346,4967,1332,4974,1308,4976,1290,4974,1265,4956,1250,4938,1249,4918,1254,4907,1252,4893,1249,4883,1239,4870,1230,4864,1202,4858,1216,4808,1265,4693,1254,4647,1253,4597,1247,4571,1274,4546,1285,4561,1294,4566,1309,4561,1309,4551,1303,4542,1293,4535,1287,4528,1283,4518,1277,4500,1273,4487,1272,4479,1275,4462,1275,4454,1272,4436,1262,4427,1254,4427,1243,4433,1235,4446,1231,4427,1227,4414,1222,4405,1217,4406,1215,4410,1213,4417,1212,4427,1211,4430,1164,4373,1163,4365,1152,4354,1152,4288,1155,4291,1167,4291,1178,4280,1178,4278,1163,4248,1155,4224,1152,4217xe" filled="false" stroked="true" strokeweight=".279pt" strokecolor="#231f20">
              <v:path arrowok="t"/>
              <v:stroke dashstyle="solid"/>
            </v:shape>
            <v:shape style="position:absolute;left:1147;top:2142;width:2949;height:2522" type="#_x0000_t75" stroked="false">
              <v:imagedata r:id="rId202" o:title=""/>
            </v:shape>
            <v:shape style="position:absolute;left:3321;top:1760;width:1962;height:1418" type="#_x0000_t75" stroked="false">
              <v:imagedata r:id="rId203" o:title=""/>
            </v:shape>
            <v:shape style="position:absolute;left:4138;top:4488;width:359;height:47" coordorigin="4139,4489" coordsize="359,47" path="m4309,4530l4278,4530,4282,4532,4286,4536,4292,4536,4300,4533,4305,4531,4309,4530xm4348,4523l4207,4523,4222,4526,4234,4529,4244,4530,4259,4531,4273,4531,4278,4530,4309,4530,4322,4527,4341,4527,4348,4523xm4176,4494l4171,4495,4161,4503,4155,4511,4147,4518,4142,4521,4139,4523,4158,4529,4170,4529,4184,4528,4198,4523,4348,4523,4358,4521,4373,4520,4385,4520,4392,4519,4403,4515,4413,4515,4422,4514,4435,4513,4490,4513,4498,4510,4488,4508,4216,4508,4207,4506,4197,4503,4187,4498,4182,4495,4176,4494xm4341,4527l4331,4527,4339,4528,4341,4527xm4385,4520l4373,4520,4382,4521,4385,4520xm4490,4513l4435,4513,4446,4514,4455,4516,4465,4518,4480,4517,4490,4513xm4366,4489l4346,4489,4334,4491,4324,4493,4313,4494,4295,4497,4280,4502,4262,4506,4228,4508,4488,4508,4477,4506,4456,4505,4436,4502,4417,4498,4402,4494,4385,4491,4366,4489xe" filled="true" fillcolor="#f9aa8f" stroked="false">
              <v:path arrowok="t"/>
              <v:fill type="solid"/>
            </v:shape>
            <v:shape style="position:absolute;left:4138;top:4488;width:359;height:47" coordorigin="4139,4489" coordsize="359,47" path="m4480,4517l4498,4510,4477,4506,4456,4505,4436,4502,4417,4498,4402,4494,4385,4491,4366,4489,4346,4489,4334,4491,4324,4493,4313,4494,4295,4497,4280,4502,4262,4506,4246,4507,4228,4508,4216,4508,4207,4506,4197,4503,4187,4498,4182,4495,4176,4494,4171,4495,4161,4503,4155,4511,4147,4518,4142,4521,4139,4523,4149,4526,4158,4529,4170,4529,4184,4528,4198,4523,4207,4523,4222,4526,4234,4529,4244,4530,4259,4531,4273,4531,4278,4530,4282,4532,4286,4536,4292,4536,4300,4533,4305,4531,4322,4527,4331,4527,4339,4528,4348,4523,4358,4521,4373,4520,4382,4521,4392,4519,4403,4515,4413,4515,4422,4514,4435,4513,4446,4514,4455,4516,4465,4518,4480,4517xe" filled="false" stroked="true" strokeweight=".279pt" strokecolor="#231f20">
              <v:path arrowok="t"/>
              <v:stroke dashstyle="solid"/>
            </v:shape>
            <v:shape style="position:absolute;left:2150;top:4556;width:110;height:66" coordorigin="2150,4556" coordsize="110,66" path="m2184,4556l2150,4579,2152,4585,2211,4615,2226,4620,2242,4620,2251,4622,2259,4618,2260,4612,2252,4599,2244,4593,2234,4587,2230,4584,2215,4578,2206,4569,2201,4564,2193,4559,2184,4556xe" filled="true" fillcolor="#f9aa8f" stroked="false">
              <v:path arrowok="t"/>
              <v:fill type="solid"/>
            </v:shape>
            <v:shape style="position:absolute;left:2150;top:4556;width:110;height:66" coordorigin="2150,4556" coordsize="110,66" path="m2226,4620l2211,4615,2197,4613,2183,4609,2170,4603,2161,4597,2152,4585,2150,4579,2152,4568,2153,4566,2165,4558,2172,4557,2184,4556,2193,4559,2201,4564,2206,4569,2215,4578,2230,4584,2234,4587,2244,4593,2252,4599,2260,4612,2259,4618,2251,4622,2242,4620,2226,4620xe" filled="false" stroked="true" strokeweight=".279pt" strokecolor="#231f20">
              <v:path arrowok="t"/>
              <v:stroke dashstyle="solid"/>
            </v:shape>
            <v:shape style="position:absolute;left:3726;top:1299;width:204;height:117" type="#_x0000_t75" stroked="false">
              <v:imagedata r:id="rId204" o:title=""/>
            </v:shape>
            <v:line style="position:absolute" from="5533,5026" to="1150,5026" stroked="true" strokeweight=".279pt" strokecolor="#231f20">
              <v:stroke dashstyle="solid"/>
            </v:line>
            <v:shape style="position:absolute;left:1149;top:3578;width:84;height:72" coordorigin="1150,3579" coordsize="84,72" path="m1223,3579l1179,3612,1150,3633,1150,3650,1157,3646,1189,3618,1234,3584,1223,3579xe" filled="true" fillcolor="#d2ab67" stroked="false">
              <v:path arrowok="t"/>
              <v:fill type="solid"/>
            </v:shape>
            <v:shape style="position:absolute;left:0;top:13483;width:84;height:3749" coordorigin="0,13484" coordsize="84,3749" path="m1150,3633l1179,3612,1223,3579,1234,3584,1189,3618,1157,3646,1150,3650,1150,3633xm1150,5026l1150,1277e" filled="false" stroked="true" strokeweight=".279pt" strokecolor="#231f20">
              <v:path arrowok="t"/>
              <v:stroke dashstyle="solid"/>
            </v:shape>
            <v:shape style="position:absolute;left:1559;top:2270;width:3741;height:2759" type="#_x0000_t75" stroked="false">
              <v:imagedata r:id="rId205" o:title=""/>
            </v:shape>
            <v:shape style="position:absolute;left:2042;top:2433;width:143;height:728" coordorigin="2043,2433" coordsize="143,728" path="m2133,2433l2129,2439,2125,2448,2122,2459,2123,2473,2125,2486,2127,2498,2128,2518,2125,2534,2118,2552,2109,2573,2097,2596,2085,2623,2076,2650,2043,2708,2045,2761,2054,2787,2060,2822,2065,2880,2080,2931,2090,2952,2107,2965,2117,2973,2125,2985,2130,3003,2135,3022,2140,3035,2147,3049,2158,3065,2165,3075,2168,3084,2170,3096,2175,3161,2183,3157,2185,3125,2183,3103,2180,3083,2177,3063,2170,3050,2160,3035,2155,3027,2148,3014,2143,3000,2134,2979,2128,2965,2120,2952,2109,2945,2101,2936,2093,2919,2085,2892,2080,2869,2074,2844,2071,2807,2067,2779,2062,2761,2064,2746,2067,2728,2070,2710,2101,2631,2108,2602,2115,2583,2128,2558,2136,2527,2139,2504,2139,2490,2136,2476,2134,2462,2133,2449,2136,2435,2133,2433xe" filled="true" fillcolor="#d2ab67" stroked="false">
              <v:path arrowok="t"/>
              <v:fill type="solid"/>
            </v:shape>
            <v:shape style="position:absolute;left:2042;top:2433;width:143;height:728" coordorigin="2043,2433" coordsize="143,728" path="m2101,2631l2070,2710,2067,2728,2064,2746,2062,2761,2067,2779,2071,2807,2074,2844,2080,2869,2085,2892,2120,2952,2128,2965,2134,2979,2143,3000,2148,3014,2155,3027,2160,3035,2170,3050,2177,3063,2180,3083,2183,3103,2185,3125,2183,3157,2175,3161,2170,3096,2168,3084,2165,3075,2158,3065,2147,3049,2140,3035,2135,3022,2130,3003,2125,2985,2117,2973,2107,2965,2090,2952,2080,2931,2065,2880,2060,2822,2054,2787,2045,2761,2043,2708,2076,2650,2085,2623,2097,2596,2109,2573,2118,2552,2125,2534,2128,2518,2127,2498,2125,2486,2123,2473,2122,2459,2125,2448,2129,2439,2133,2433,2136,2435,2133,2449,2134,2462,2136,2476,2139,2490,2139,2504,2136,2527,2128,2558,2115,2583,2108,2602,2101,2631xe" filled="false" stroked="true" strokeweight=".279pt" strokecolor="#231f20">
              <v:path arrowok="t"/>
              <v:stroke dashstyle="solid"/>
            </v:shape>
            <v:shape style="position:absolute;left:3072;top:1729;width:824;height:2104" type="#_x0000_t75" stroked="false">
              <v:imagedata r:id="rId206" o:title=""/>
            </v:shape>
            <v:shape style="position:absolute;left:-1622;top:15657;width:1624;height:1247" coordorigin="-1622,15657" coordsize="1624,1247" path="m2772,2898l2532,3025,2427,3073,2350,3100,2263,3123,2159,3168,2055,3211,1952,3251,1745,3373m1151,2715l1360,2844,1482,2963,1665,3096,1771,3214,1804,3242,2208,3569,2267,3614,2352,3668,2471,3749,2576,3817,2674,3887,2774,3962e" filled="false" stroked="true" strokeweight=".558pt" strokecolor="#231f20">
              <v:path arrowok="t"/>
              <v:stroke dashstyle="solid"/>
            </v:shape>
            <v:shape style="position:absolute;left:1629;top:2048;width:585;height:352" coordorigin="1630,2049" coordsize="585,352" path="m2214,2049l2097,2091,1963,2176,1883,2224,1814,2284,1630,2400e" filled="false" stroked="true" strokeweight=".905pt" strokecolor="#231f20">
              <v:path arrowok="t"/>
              <v:stroke dashstyle="solid"/>
            </v:shape>
            <v:shape style="position:absolute;left:-101;top:15459;width:1014;height:3750" coordorigin="-100,15459" coordsize="1014,3750" path="m1251,1658l1151,1733m1151,1772l1161,1744m1151,4583l1244,4565m1184,5027l1183,4967,1189,4895,1201,4859,1214,4809,1264,4695m1151,5027l1151,1277m2093,1413l2123,1362,2154,1300,2158,1294,2162,1285,2164,1282e" filled="false" stroked="true" strokeweight=".279pt" strokecolor="#231f20">
              <v:path arrowok="t"/>
              <v:stroke dashstyle="solid"/>
            </v:shape>
            <v:shape style="position:absolute;left:1150;top:2400;width:479;height:305" coordorigin="1151,2400" coordsize="479,305" path="m1630,2400l1278,2625,1257,2638,1211,2670,1200,2677,1151,2705e" filled="false" stroked="true" strokeweight=".905pt" strokecolor="#231f20">
              <v:path arrowok="t"/>
              <v:stroke dashstyle="solid"/>
            </v:shape>
            <v:shape style="position:absolute;left:1266;top:3373;width:480;height:212" coordorigin="1266,3373" coordsize="480,212" path="m1746,3373l1639,3445,1587,3474,1472,3511,1414,3528,1344,3563,1266,3585e" filled="false" stroked="true" strokeweight=".558pt" strokecolor="#231f20">
              <v:path arrowok="t"/>
              <v:stroke dashstyle="solid"/>
            </v:shape>
            <v:shape style="position:absolute;left:2204;top:1350;width:3282;height:3367" type="#_x0000_t75" stroked="false">
              <v:imagedata r:id="rId207" o:title=""/>
            </v:shape>
            <v:shape style="position:absolute;left:3046;top:4810;width:430;height:109" coordorigin="3047,4811" coordsize="430,109" path="m3047,4919l3292,4864,3398,4831,3432,4823,3455,4816,3477,4811e" filled="false" stroked="true" strokeweight=".279pt" strokecolor="#231f20">
              <v:path arrowok="t"/>
              <v:stroke dashstyle="solid"/>
            </v:shape>
            <v:shape style="position:absolute;left:2993;top:4713;width:331;height:284" type="#_x0000_t75" stroked="false">
              <v:imagedata r:id="rId208" o:title=""/>
            </v:shape>
            <v:shape style="position:absolute;left:-986;top:17610;width:971;height:36" coordorigin="-985,17611" coordsize="971,36" path="m3273,5003l3286,5018,3293,5027m2997,4993l2923,4991,2838,4995,2758,4996,2665,4997,2586,5008,2495,5014,2393,5012,2324,5026,2323,5027m2997,4993l3147,4993e" filled="false" stroked="true" strokeweight=".279pt" strokecolor="#231f20">
              <v:path arrowok="t"/>
              <v:stroke dashstyle="solid"/>
            </v:shape>
            <v:shape style="position:absolute;left:-1306;top:13685;width:1763;height:3769" coordorigin="-1305,13686" coordsize="1763,3769" path="m5535,1258l5535,5027m5371,4028l5404,4048m5354,4042l5404,4082m3872,4258l3773,4285e" filled="false" stroked="true" strokeweight=".279pt" strokecolor="#231f20">
              <v:path arrowok="t"/>
              <v:stroke dashstyle="solid"/>
            </v:shape>
            <v:shape style="position:absolute;left:4459;top:1901;width:978;height:919" coordorigin="4460,1902" coordsize="978,919" path="m5437,2821l5427,2760,5404,2687,5371,2628,5363,2614,5349,2593,5326,2557,5306,2527,5296,2510,5280,2487,5206,2426,5129,2374,5046,2332,5029,2320,5009,2307,4977,2282,4939,2254,4915,2230,4890,2210,4862,2191,4837,2169,4812,2150,4786,2128,4767,2108,4736,2084,4707,2063,4662,2031,4626,2008,4584,1980,4526,1949,4488,1924,4460,1902e" filled="false" stroked="true" strokeweight="1.034pt" strokecolor="#231f20">
              <v:path arrowok="t"/>
              <v:stroke dashstyle="solid"/>
            </v:shape>
            <v:shape style="position:absolute;left:5077;top:3415;width:187;height:145" coordorigin="5078,3416" coordsize="187,145" path="m5078,3560l5090,3548,5162,3496,5182,3477,5264,3416e" filled="false" stroked="true" strokeweight=".279pt" strokecolor="#231f20">
              <v:path arrowok="t"/>
              <v:stroke dashstyle="solid"/>
            </v:shape>
            <v:shape style="position:absolute;left:4633;top:3854;width:225;height:212" type="#_x0000_t75" stroked="false">
              <v:imagedata r:id="rId209" o:title=""/>
            </v:shape>
            <v:shape style="position:absolute;left:-636;top:16391;width:613;height:174" coordorigin="-636,16391" coordsize="613,174" path="m5055,4126l4969,4178m4964,4192l4938,4184,4921,4175,4906,4168,4891,4162,4877,4158,4871,4155,4822,4129m4842,4111l4822,4129,4800,4146,4778,4163,4749,4173,4736,4177,4698,4190,4688,4193,4622,4219,4577,4238,4442,4284e" filled="false" stroked="true" strokeweight=".279pt" strokecolor="#231f20">
              <v:path arrowok="t"/>
              <v:stroke dashstyle="solid"/>
            </v:shape>
            <v:shape style="position:absolute;left:4572;top:4128;width:327;height:166" type="#_x0000_t75" stroked="false">
              <v:imagedata r:id="rId210" o:title=""/>
            </v:shape>
            <v:shape style="position:absolute;left:-570;top:15917;width:391;height:110" coordorigin="-570,15917" coordsize="391,110" path="m4561,3637l4591,3647,4599,3649,4618,3655,4625,3657,4646,3664,4652,3666,4672,3672,4687,3677,4728,3690,4737,3693,4756,3699,4772,3704,4836,3724,4854,3729,4899,3743m4508,3668l4569,3684,4587,3688,4599,3692,4698,3717,4716,3721,4815,3742,4841,3747e" filled="false" stroked="true" strokeweight=".279pt" strokecolor="#231f20">
              <v:path arrowok="t"/>
              <v:stroke dashstyle="solid"/>
            </v:shape>
            <v:shape style="position:absolute;left:5116;top:3848;width:142;height:181" type="#_x0000_t75" stroked="false">
              <v:imagedata r:id="rId211" o:title=""/>
            </v:shape>
            <v:shape style="position:absolute;left:-626;top:15496;width:137;height:396" coordorigin="-625,15497" coordsize="137,396" path="m4496,3612l4467,3574,4452,3552m4589,3232l4520,3245m4531,3236l4546,3223,4521,3244m4467,3217l4532,3218e" filled="false" stroked="true" strokeweight=".279pt" strokecolor="#231f20">
              <v:path arrowok="t"/>
              <v:stroke dashstyle="solid"/>
            </v:shape>
            <v:shape style="position:absolute;left:5260;top:2524;width:187;height:255" type="#_x0000_t75" stroked="false">
              <v:imagedata r:id="rId212" o:title=""/>
            </v:shape>
            <v:shape style="position:absolute;left:-183;top:15066;width:596;height:423" coordorigin="-182,15067" coordsize="596,423" path="m5473,2787l5437,2821,5419,2837,5412,2844,5408,2848,5381,2873,5366,2887,5359,2895,5345,2903,5291,2939,5282,2946,5262,2963,5253,2971,5224,2991,5059,3101,5055,3103,5012,3132,4995,3144,4952,3172,4939,3181,4895,3210m5467,2970l5449,2975,5432,2981,5417,2986,5377,3000,5368,3002,5321,3018,5273,3034m5491,3074l5463,3083,5446,3089,5427,3099,5419,3103,5412,3106,5349,3138,5344,3140,5334,3145,5330,3148,5295,3166,5276,3175,5227,3200e" filled="false" stroked="true" strokeweight=".279pt" strokecolor="#231f20">
              <v:path arrowok="t"/>
              <v:stroke dashstyle="solid"/>
            </v:shape>
            <v:line style="position:absolute" from="4724,2684" to="4545,2866" stroked="true" strokeweight=".905pt" strokecolor="#231f20">
              <v:stroke dashstyle="solid"/>
            </v:line>
            <v:shape style="position:absolute;left:4688;top:2342;width:302;height:185" coordorigin="4688,2343" coordsize="302,185" path="m4990,2343l4966,2357,4938,2375,4890,2404,4876,2413,4865,2419,4852,2427,4774,2475,4769,2478,4688,2527e" filled="false" stroked="true" strokeweight=".279pt" strokecolor="#231f20">
              <v:path arrowok="t"/>
              <v:stroke dashstyle="solid"/>
            </v:shape>
            <v:shape style="position:absolute;left:4723;top:2330;width:322;height:354" coordorigin="4724,2331" coordsize="322,354" path="m5045,2331l5004,2397,4982,2428,4958,2457,4942,2472,4909,2504,4899,2512,4890,2521,4883,2528,4848,2572,4802,2614,4724,2684e" filled="false" stroked="true" strokeweight="1.034pt" strokecolor="#231f20">
              <v:path arrowok="t"/>
              <v:stroke dashstyle="solid"/>
            </v:shape>
            <v:shape style="position:absolute;left:-10;top:15840;width:225;height:1441" coordorigin="-10,15840" coordsize="225,1441" path="m5284,2748l5331,2820,5349,2858,5359,2895m5408,2848l5446,2921,5467,2970,5473,2989,5481,3020,5491,3074,5499,3105m5404,4144l5349,4163,5274,4189e" filled="false" stroked="true" strokeweight=".279pt" strokecolor="#231f20">
              <v:path arrowok="t"/>
              <v:stroke dashstyle="solid"/>
            </v:shape>
            <v:rect style="position:absolute;left:3310;top:3280;width:61;height:66" filled="true" fillcolor="#ffffff" stroked="false">
              <v:fill type="solid"/>
            </v:rect>
            <v:rect style="position:absolute;left:3310;top:3280;width:61;height:66" filled="false" stroked="true" strokeweight=".651pt" strokecolor="#231f20">
              <v:stroke dashstyle="solid"/>
            </v:rect>
            <v:shape style="position:absolute;left:3310;top:3280;width:60;height:64" coordorigin="3311,3281" coordsize="60,64" path="m3312,3281l3311,3344,3371,3344,3312,3281xe" filled="true" fillcolor="#231f20" stroked="false">
              <v:path arrowok="t"/>
              <v:fill type="solid"/>
            </v:shape>
            <v:shape style="position:absolute;left:3310;top:3280;width:60;height:64" coordorigin="3311,3281" coordsize="60,64" path="m3312,3281l3371,3344,3311,3344,3312,3281xe" filled="false" stroked="true" strokeweight=".279pt" strokecolor="#231f20">
              <v:path arrowok="t"/>
              <v:stroke dashstyle="solid"/>
            </v:shape>
            <v:rect style="position:absolute;left:3393;top:3086;width:61;height:66" filled="true" fillcolor="#ffffff" stroked="false">
              <v:fill type="solid"/>
            </v:rect>
            <v:rect style="position:absolute;left:3393;top:3086;width:61;height:66" filled="false" stroked="true" strokeweight=".651pt" strokecolor="#231f20">
              <v:stroke dashstyle="solid"/>
            </v:rect>
            <v:shape style="position:absolute;left:3393;top:3087;width:60;height:64" coordorigin="3393,3087" coordsize="60,64" path="m3394,3087l3393,3151,3453,3150,3394,3087xe" filled="true" fillcolor="#231f20" stroked="false">
              <v:path arrowok="t"/>
              <v:fill type="solid"/>
            </v:shape>
            <v:shape style="position:absolute;left:3393;top:3087;width:60;height:64" coordorigin="3393,3087" coordsize="60,64" path="m3394,3087l3453,3150,3393,3151,3394,3087xe" filled="false" stroked="true" strokeweight=".279pt" strokecolor="#231f20">
              <v:path arrowok="t"/>
              <v:stroke dashstyle="solid"/>
            </v:shape>
            <v:rect style="position:absolute;left:3328;top:2931;width:61;height:66" filled="true" fillcolor="#ffffff" stroked="false">
              <v:fill type="solid"/>
            </v:rect>
            <v:rect style="position:absolute;left:3328;top:2931;width:61;height:66" filled="false" stroked="true" strokeweight=".651pt" strokecolor="#231f20">
              <v:stroke dashstyle="solid"/>
            </v:rect>
            <v:shape style="position:absolute;left:3328;top:2932;width:60;height:64" coordorigin="3329,2932" coordsize="60,64" path="m3330,2932l3329,2996,3389,2995,3330,2932xe" filled="true" fillcolor="#231f20" stroked="false">
              <v:path arrowok="t"/>
              <v:fill type="solid"/>
            </v:shape>
            <v:shape style="position:absolute;left:3328;top:2932;width:60;height:64" coordorigin="3329,2932" coordsize="60,64" path="m3330,2932l3389,2995,3329,2996,3330,2932xe" filled="false" stroked="true" strokeweight=".279pt" strokecolor="#231f20">
              <v:path arrowok="t"/>
              <v:stroke dashstyle="solid"/>
            </v:shape>
            <v:rect style="position:absolute;left:3481;top:3119;width:61;height:66" filled="true" fillcolor="#ffffff" stroked="false">
              <v:fill type="solid"/>
            </v:rect>
            <v:rect style="position:absolute;left:3481;top:3119;width:61;height:66" filled="false" stroked="true" strokeweight=".651pt" strokecolor="#231f20">
              <v:stroke dashstyle="solid"/>
            </v:rect>
            <v:shape style="position:absolute;left:3481;top:3120;width:60;height:64" coordorigin="3481,3120" coordsize="60,64" path="m3482,3120l3481,3184,3541,3183,3482,3120xe" filled="true" fillcolor="#231f20" stroked="false">
              <v:path arrowok="t"/>
              <v:fill type="solid"/>
            </v:shape>
            <v:shape style="position:absolute;left:3481;top:3120;width:60;height:64" coordorigin="3481,3120" coordsize="60,64" path="m3482,3120l3541,3183,3481,3184,3482,3120xe" filled="false" stroked="true" strokeweight=".279pt" strokecolor="#231f20">
              <v:path arrowok="t"/>
              <v:stroke dashstyle="solid"/>
            </v:shape>
            <v:rect style="position:absolute;left:3701;top:3269;width:61;height:66" filled="true" fillcolor="#ffffff" stroked="false">
              <v:fill type="solid"/>
            </v:rect>
            <v:rect style="position:absolute;left:3701;top:3269;width:61;height:66" filled="false" stroked="true" strokeweight=".651pt" strokecolor="#231f20">
              <v:stroke dashstyle="solid"/>
            </v:rect>
            <v:shape style="position:absolute;left:3701;top:3270;width:60;height:64" coordorigin="3701,3271" coordsize="60,64" path="m3702,3271l3701,3334,3761,3334,3702,3271xe" filled="true" fillcolor="#231f20" stroked="false">
              <v:path arrowok="t"/>
              <v:fill type="solid"/>
            </v:shape>
            <v:shape style="position:absolute;left:3701;top:3270;width:60;height:64" coordorigin="3701,3271" coordsize="60,64" path="m3702,3271l3761,3334,3701,3334,3702,3271xe" filled="false" stroked="true" strokeweight=".279pt" strokecolor="#231f20">
              <v:path arrowok="t"/>
              <v:stroke dashstyle="solid"/>
            </v:shape>
            <v:rect style="position:absolute;left:3699;top:2274;width:61;height:66" filled="true" fillcolor="#ffffff" stroked="false">
              <v:fill type="solid"/>
            </v:rect>
            <v:rect style="position:absolute;left:3699;top:2274;width:61;height:66" filled="false" stroked="true" strokeweight=".651pt" strokecolor="#231f20">
              <v:stroke dashstyle="solid"/>
            </v:rect>
            <v:shape style="position:absolute;left:3698;top:2275;width:60;height:64" coordorigin="3699,2275" coordsize="60,64" path="m3700,2275l3699,2339,3759,2338,3700,2275xe" filled="true" fillcolor="#231f20" stroked="false">
              <v:path arrowok="t"/>
              <v:fill type="solid"/>
            </v:shape>
            <v:shape style="position:absolute;left:3698;top:2275;width:60;height:64" coordorigin="3699,2275" coordsize="60,64" path="m3700,2275l3759,2338,3699,2339,3700,2275xe" filled="false" stroked="true" strokeweight=".279pt" strokecolor="#231f20">
              <v:path arrowok="t"/>
              <v:stroke dashstyle="solid"/>
            </v:shape>
            <v:rect style="position:absolute;left:3295;top:2093;width:61;height:66" filled="true" fillcolor="#ffffff" stroked="false">
              <v:fill type="solid"/>
            </v:rect>
            <v:rect style="position:absolute;left:3295;top:2093;width:61;height:66" filled="false" stroked="true" strokeweight=".651pt" strokecolor="#231f20">
              <v:stroke dashstyle="solid"/>
            </v:rect>
            <v:shape style="position:absolute;left:3295;top:2094;width:60;height:64" coordorigin="3296,2095" coordsize="60,64" path="m3297,2095l3296,2158,3356,2157,3297,2095xe" filled="true" fillcolor="#231f20" stroked="false">
              <v:path arrowok="t"/>
              <v:fill type="solid"/>
            </v:shape>
            <v:shape style="position:absolute;left:3295;top:2094;width:60;height:64" coordorigin="3296,2095" coordsize="60,64" path="m3297,2095l3356,2157,3296,2158,3297,2095xe" filled="false" stroked="true" strokeweight=".279pt" strokecolor="#231f20">
              <v:path arrowok="t"/>
              <v:stroke dashstyle="solid"/>
            </v:shape>
            <v:rect style="position:absolute;left:3375;top:2438;width:61;height:66" filled="true" fillcolor="#ffffff" stroked="false">
              <v:fill type="solid"/>
            </v:rect>
            <v:rect style="position:absolute;left:3375;top:2438;width:61;height:66" filled="false" stroked="true" strokeweight=".651pt" strokecolor="#231f20">
              <v:stroke dashstyle="solid"/>
            </v:rect>
            <v:shape style="position:absolute;left:3374;top:2439;width:60;height:64" coordorigin="3375,2439" coordsize="60,64" path="m3376,2439l3375,2503,3435,2502,3376,2439xe" filled="true" fillcolor="#231f20" stroked="false">
              <v:path arrowok="t"/>
              <v:fill type="solid"/>
            </v:shape>
            <v:shape style="position:absolute;left:3374;top:2439;width:60;height:64" coordorigin="3375,2439" coordsize="60,64" path="m3376,2439l3435,2502,3375,2503,3376,2439xe" filled="false" stroked="true" strokeweight=".279pt" strokecolor="#231f20">
              <v:path arrowok="t"/>
              <v:stroke dashstyle="solid"/>
            </v:shape>
            <v:rect style="position:absolute;left:3175;top:2502;width:61;height:66" filled="true" fillcolor="#ffffff" stroked="false">
              <v:fill type="solid"/>
            </v:rect>
            <v:rect style="position:absolute;left:3175;top:2502;width:61;height:66" filled="false" stroked="true" strokeweight=".651pt" strokecolor="#231f20">
              <v:stroke dashstyle="solid"/>
            </v:rect>
            <v:shape style="position:absolute;left:3175;top:2502;width:60;height:64" coordorigin="3175,2503" coordsize="60,64" path="m3176,2503l3175,2566,3235,2566,3176,2503xe" filled="true" fillcolor="#231f20" stroked="false">
              <v:path arrowok="t"/>
              <v:fill type="solid"/>
            </v:shape>
            <v:shape style="position:absolute;left:3175;top:2502;width:60;height:64" coordorigin="3175,2503" coordsize="60,64" path="m3176,2503l3235,2566,3175,2566,3176,2503xe" filled="false" stroked="true" strokeweight=".279pt" strokecolor="#231f20">
              <v:path arrowok="t"/>
              <v:stroke dashstyle="solid"/>
            </v:shape>
            <v:rect style="position:absolute;left:2845;top:2166;width:61;height:66" filled="true" fillcolor="#ffffff" stroked="false">
              <v:fill type="solid"/>
            </v:rect>
            <v:rect style="position:absolute;left:2845;top:2167;width:61;height:66" filled="false" stroked="true" strokeweight=".651pt" strokecolor="#231f20">
              <v:stroke dashstyle="solid"/>
            </v:rect>
            <v:shape style="position:absolute;left:2845;top:2167;width:60;height:64" coordorigin="2845,2167" coordsize="60,64" path="m2847,2167l2845,2230,2905,2230,2847,2167xe" filled="true" fillcolor="#231f20" stroked="false">
              <v:path arrowok="t"/>
              <v:fill type="solid"/>
            </v:shape>
            <v:shape style="position:absolute;left:2845;top:2167;width:60;height:64" coordorigin="2845,2167" coordsize="60,64" path="m2847,2167l2905,2230,2845,2230,2847,2167xe" filled="false" stroked="true" strokeweight=".279pt" strokecolor="#231f20">
              <v:path arrowok="t"/>
              <v:stroke dashstyle="solid"/>
            </v:shape>
            <v:rect style="position:absolute;left:4858;top:2401;width:61;height:66" filled="true" fillcolor="#ffffff" stroked="false">
              <v:fill type="solid"/>
            </v:rect>
            <v:rect style="position:absolute;left:4858;top:2401;width:61;height:66" filled="false" stroked="true" strokeweight=".651pt" strokecolor="#231f20">
              <v:stroke dashstyle="solid"/>
            </v:rect>
            <v:rect style="position:absolute;left:4097;top:2330;width:61;height:66" filled="true" fillcolor="#ffffff" stroked="false">
              <v:fill type="solid"/>
            </v:rect>
            <v:rect style="position:absolute;left:4097;top:2330;width:61;height:66" filled="false" stroked="true" strokeweight=".651pt" strokecolor="#231f20">
              <v:stroke dashstyle="solid"/>
            </v:rect>
            <v:rect style="position:absolute;left:4992;top:2745;width:61;height:66" filled="true" fillcolor="#ffffff" stroked="false">
              <v:fill type="solid"/>
            </v:rect>
            <v:rect style="position:absolute;left:4992;top:2745;width:61;height:66" filled="false" stroked="true" strokeweight=".651pt" strokecolor="#231f20">
              <v:stroke dashstyle="solid"/>
            </v:rect>
            <v:shape style="position:absolute;left:4993;top:2745;width:60;height:64" coordorigin="4993,2745" coordsize="60,64" path="m4994,2745l4993,2809,5053,2808,4994,2745xe" filled="true" fillcolor="#231f20" stroked="false">
              <v:path arrowok="t"/>
              <v:fill type="solid"/>
            </v:shape>
            <v:shape style="position:absolute;left:4993;top:2745;width:60;height:64" coordorigin="4993,2745" coordsize="60,64" path="m4994,2745l5053,2808,4993,2809,4994,2745xe" filled="false" stroked="true" strokeweight=".279pt" strokecolor="#231f20">
              <v:path arrowok="t"/>
              <v:stroke dashstyle="solid"/>
            </v:shape>
            <v:rect style="position:absolute;left:4252;top:4049;width:61;height:66" filled="true" fillcolor="#ffffff" stroked="false">
              <v:fill type="solid"/>
            </v:rect>
            <v:rect style="position:absolute;left:4252;top:4049;width:61;height:66" filled="false" stroked="true" strokeweight=".651pt" strokecolor="#231f20">
              <v:stroke dashstyle="solid"/>
            </v:rect>
            <v:shape style="position:absolute;left:4253;top:4050;width:60;height:64" coordorigin="4253,4051" coordsize="60,64" path="m4254,4051l4253,4114,4313,4114,4254,4051xe" filled="true" fillcolor="#231f20" stroked="false">
              <v:path arrowok="t"/>
              <v:fill type="solid"/>
            </v:shape>
            <v:shape style="position:absolute;left:4253;top:4050;width:60;height:64" coordorigin="4253,4051" coordsize="60,64" path="m4254,4051l4313,4114,4253,4114,4254,4051xe" filled="false" stroked="true" strokeweight=".279pt" strokecolor="#231f20">
              <v:path arrowok="t"/>
              <v:stroke dashstyle="solid"/>
            </v:shape>
            <v:rect style="position:absolute;left:4882;top:3962;width:61;height:66" filled="true" fillcolor="#ffffff" stroked="false">
              <v:fill type="solid"/>
            </v:rect>
            <v:rect style="position:absolute;left:4882;top:3962;width:61;height:66" filled="false" stroked="true" strokeweight=".651pt" strokecolor="#231f20">
              <v:stroke dashstyle="solid"/>
            </v:rect>
            <v:shape style="position:absolute;left:4882;top:3963;width:60;height:64" coordorigin="4883,3963" coordsize="60,64" path="m4884,3963l4883,4027,4943,4026,4884,3963xe" filled="true" fillcolor="#231f20" stroked="false">
              <v:path arrowok="t"/>
              <v:fill type="solid"/>
            </v:shape>
            <v:shape style="position:absolute;left:4882;top:3963;width:60;height:64" coordorigin="4883,3963" coordsize="60,64" path="m4884,3963l4943,4026,4883,4027,4884,3963xe" filled="false" stroked="true" strokeweight=".279pt" strokecolor="#231f20">
              <v:path arrowok="t"/>
              <v:stroke dashstyle="solid"/>
            </v:shape>
            <v:rect style="position:absolute;left:4250;top:4173;width:61;height:66" filled="true" fillcolor="#ffffff" stroked="false">
              <v:fill type="solid"/>
            </v:rect>
            <v:rect style="position:absolute;left:4250;top:4173;width:61;height:66" filled="false" stroked="true" strokeweight=".651pt" strokecolor="#231f20">
              <v:stroke dashstyle="solid"/>
            </v:rect>
            <v:shape style="position:absolute;left:4251;top:4174;width:60;height:64" coordorigin="4251,4175" coordsize="60,64" path="m4252,4175l4251,4238,4311,4237,4252,4175xe" filled="true" fillcolor="#231f20" stroked="false">
              <v:path arrowok="t"/>
              <v:fill type="solid"/>
            </v:shape>
            <v:shape style="position:absolute;left:4251;top:4174;width:60;height:64" coordorigin="4251,4175" coordsize="60,64" path="m4252,4175l4311,4237,4251,4238,4252,4175xe" filled="false" stroked="true" strokeweight=".279pt" strokecolor="#231f20">
              <v:path arrowok="t"/>
              <v:stroke dashstyle="solid"/>
            </v:shape>
            <v:rect style="position:absolute;left:3922;top:4265;width:61;height:66" filled="true" fillcolor="#ffffff" stroked="false">
              <v:fill type="solid"/>
            </v:rect>
            <v:rect style="position:absolute;left:3922;top:4265;width:61;height:66" filled="false" stroked="true" strokeweight=".651pt" strokecolor="#231f20">
              <v:stroke dashstyle="solid"/>
            </v:rect>
            <v:shape style="position:absolute;left:3922;top:4265;width:60;height:64" coordorigin="3923,4266" coordsize="60,64" path="m3924,4266l3923,4329,3983,4329,3924,4266xe" filled="true" fillcolor="#231f20" stroked="false">
              <v:path arrowok="t"/>
              <v:fill type="solid"/>
            </v:shape>
            <v:shape style="position:absolute;left:3922;top:4265;width:60;height:64" coordorigin="3923,4266" coordsize="60,64" path="m3924,4266l3983,4329,3923,4329,3924,4266xe" filled="false" stroked="true" strokeweight=".279pt" strokecolor="#231f20">
              <v:path arrowok="t"/>
              <v:stroke dashstyle="solid"/>
            </v:shape>
            <v:rect style="position:absolute;left:3003;top:3125;width:61;height:66" filled="true" fillcolor="#ffffff" stroked="false">
              <v:fill type="solid"/>
            </v:rect>
            <v:rect style="position:absolute;left:3003;top:3125;width:61;height:66" filled="false" stroked="true" strokeweight=".651pt" strokecolor="#231f20">
              <v:stroke dashstyle="solid"/>
            </v:rect>
            <v:rect style="position:absolute;left:3124;top:3661;width:61;height:66" filled="true" fillcolor="#ffffff" stroked="false">
              <v:fill type="solid"/>
            </v:rect>
            <v:rect style="position:absolute;left:3124;top:3661;width:61;height:66" filled="false" stroked="true" strokeweight=".651pt" strokecolor="#231f20">
              <v:stroke dashstyle="solid"/>
            </v:rect>
            <v:rect style="position:absolute;left:4118;top:3951;width:61;height:66" filled="true" fillcolor="#ffffff" stroked="false">
              <v:fill type="solid"/>
            </v:rect>
            <v:rect style="position:absolute;left:4118;top:3951;width:61;height:66" filled="false" stroked="true" strokeweight=".651pt" strokecolor="#231f20">
              <v:stroke dashstyle="solid"/>
            </v:rect>
            <v:shape style="position:absolute;left:0;top:15798;width:43;height:42" coordorigin="0,15798" coordsize="43,42" path="m3733,4075l3775,4033m3733,4033l3775,4075e" filled="false" stroked="true" strokeweight=".279pt" strokecolor="#ed1c24">
              <v:path arrowok="t"/>
              <v:stroke dashstyle="solid"/>
            </v:shape>
            <v:rect style="position:absolute;left:3733;top:4032;width:42;height:42" filled="true" fillcolor="#ffffff" stroked="false">
              <v:fill type="solid"/>
            </v:rect>
            <v:shape style="position:absolute;left:1150;top:1256;width:4382;height:3767" coordorigin="1151,1256" coordsize="4382,3767" path="m3775,4075l3733,4075,3733,4033,3775,4033,3775,4075xm5532,1256l5532,5022m1151,5022l1151,1275m3028,1285l1151,1275e" filled="false" stroked="true" strokeweight=".279pt" strokecolor="#231f20">
              <v:path arrowok="t"/>
              <v:stroke dashstyle="solid"/>
            </v:shape>
            <v:rect style="position:absolute;left:1368;top:4880;width:61;height:66" filled="true" fillcolor="#ffffff" stroked="false">
              <v:fill type="solid"/>
            </v:rect>
            <v:rect style="position:absolute;left:1368;top:4880;width:61;height:66" filled="false" stroked="true" strokeweight=".651pt" strokecolor="#231f20">
              <v:stroke dashstyle="solid"/>
            </v:rect>
            <v:shape style="position:absolute;left:1368;top:4880;width:60;height:64" coordorigin="1369,4881" coordsize="60,64" path="m1370,4881l1369,4944,1429,4944,1370,4881xe" filled="true" fillcolor="#231f20" stroked="false">
              <v:path arrowok="t"/>
              <v:fill type="solid"/>
            </v:shape>
            <v:shape style="position:absolute;left:1368;top:4880;width:60;height:64" coordorigin="1369,4881" coordsize="60,64" path="m1370,4881l1429,4944,1369,4944,1370,4881xe" filled="false" stroked="true" strokeweight=".279pt" strokecolor="#231f20">
              <v:path arrowok="t"/>
              <v:stroke dashstyle="solid"/>
            </v:shape>
            <v:rect style="position:absolute;left:1574;top:3425;width:40;height:40" filled="true" fillcolor="#ffffff" stroked="false">
              <v:fill type="solid"/>
            </v:rect>
            <v:rect style="position:absolute;left:1574;top:3425;width:40;height:40" filled="false" stroked="true" strokeweight=".279pt" strokecolor="#231f20">
              <v:stroke dashstyle="solid"/>
            </v:rect>
            <v:shape style="position:absolute;left:0;top:15800;width:40;height:40" coordorigin="0,15800" coordsize="40,40" path="m1575,3466l1614,3426m1575,3426l1614,3466e" filled="false" stroked="true" strokeweight=".558pt" strokecolor="#231f20">
              <v:path arrowok="t"/>
              <v:stroke dashstyle="solid"/>
            </v:shape>
            <v:rect style="position:absolute;left:3736;top:4033;width:40;height:40" filled="true" fillcolor="#ffffff" stroked="false">
              <v:fill type="solid"/>
            </v:rect>
            <v:rect style="position:absolute;left:3736;top:4033;width:40;height:40" filled="false" stroked="true" strokeweight=".279pt" strokecolor="#231f20">
              <v:stroke dashstyle="solid"/>
            </v:rect>
            <v:shape style="position:absolute;left:0;top:15800;width:40;height:40" coordorigin="0,15800" coordsize="40,40" path="m3737,4074l3776,4034m3737,4034l3776,4074e" filled="false" stroked="true" strokeweight=".558pt" strokecolor="#231f20">
              <v:path arrowok="t"/>
              <v:stroke dashstyle="solid"/>
            </v:shape>
            <v:rect style="position:absolute;left:3910;top:5112;width:120;height:129" filled="false" stroked="true" strokeweight=".651pt" strokecolor="#231f20">
              <v:stroke dashstyle="solid"/>
            </v:rect>
            <v:shape style="position:absolute;left:3766;top:5107;width:132;height:142" type="#_x0000_t75" stroked="false">
              <v:imagedata r:id="rId213" o:title=""/>
            </v:shape>
            <v:rect style="position:absolute;left:1100;top:1230;width:4473;height:4920" filled="false" stroked="true" strokeweight=".646pt" strokecolor="#231f20">
              <v:stroke dashstyle="solid"/>
            </v:rect>
            <v:rect style="position:absolute;left:2077;top:3038;width:448;height:236" filled="true" fillcolor="#f9aa8f" stroked="false">
              <v:fill type="solid"/>
            </v:rect>
            <v:line style="position:absolute" from="1268,1316" to="1268,1731" stroked="true" strokeweight="5.823pt" strokecolor="#ffffff">
              <v:stroke dashstyle="solid"/>
            </v:line>
            <v:rect style="position:absolute;left:1137;top:1264;width:4388;height:3751" filled="false" stroked="true" strokeweight=".646pt" strokecolor="#231f20">
              <v:stroke dashstyle="solid"/>
            </v:rect>
            <v:rect style="position:absolute;left:1151;top:5078;width:161;height:238" filled="true" fillcolor="#a6ce39" stroked="false">
              <v:fill type="solid"/>
            </v:rect>
            <v:rect style="position:absolute;left:1151;top:5078;width:161;height:238" filled="false" stroked="true" strokeweight=".651pt" strokecolor="#231f20">
              <v:stroke dashstyle="solid"/>
            </v:rect>
            <v:rect style="position:absolute;left:1151;top:5341;width:161;height:242" filled="true" fillcolor="#54a275" stroked="false">
              <v:fill type="solid"/>
            </v:rect>
            <v:rect style="position:absolute;left:1151;top:5341;width:161;height:242" filled="false" stroked="true" strokeweight=".651pt" strokecolor="#231f20">
              <v:stroke dashstyle="solid"/>
            </v:rect>
            <v:rect style="position:absolute;left:1151;top:5615;width:161;height:234" filled="true" fillcolor="#9bd3ae" stroked="false">
              <v:fill type="solid"/>
            </v:rect>
            <v:rect style="position:absolute;left:1151;top:5615;width:161;height:234" filled="false" stroked="true" strokeweight=".651pt" strokecolor="#231f20">
              <v:stroke dashstyle="solid"/>
            </v:rect>
            <v:rect style="position:absolute;left:1147;top:5878;width:161;height:238" filled="true" fillcolor="#abbe92" stroked="false">
              <v:fill type="solid"/>
            </v:rect>
            <v:rect style="position:absolute;left:1147;top:5878;width:161;height:238" filled="false" stroked="true" strokeweight=".651pt" strokecolor="#231f20">
              <v:stroke dashstyle="solid"/>
            </v:rect>
            <v:rect style="position:absolute;left:1312;top:5076;width:161;height:238" filled="true" fillcolor="#ffcb04" stroked="false">
              <v:fill type="solid"/>
            </v:rect>
            <v:rect style="position:absolute;left:1312;top:5076;width:161;height:238" filled="false" stroked="true" strokeweight=".651pt" strokecolor="#231f20">
              <v:stroke dashstyle="solid"/>
            </v:rect>
            <v:rect style="position:absolute;left:1316;top:5341;width:161;height:243" filled="true" fillcolor="#fff685" stroked="false">
              <v:fill type="solid"/>
            </v:rect>
            <v:rect style="position:absolute;left:1316;top:5341;width:161;height:243" filled="false" stroked="true" strokeweight=".651pt" strokecolor="#231f20">
              <v:stroke dashstyle="solid"/>
            </v:rect>
            <v:rect style="position:absolute;left:1312;top:5615;width:161;height:235" filled="true" fillcolor="#fff9ae" stroked="false">
              <v:fill type="solid"/>
            </v:rect>
            <v:rect style="position:absolute;left:1312;top:5615;width:161;height:235" filled="false" stroked="true" strokeweight=".651pt" strokecolor="#231f20">
              <v:stroke dashstyle="solid"/>
            </v:rect>
            <v:rect style="position:absolute;left:1308;top:5880;width:161;height:235" filled="true" fillcolor="#fffcd5" stroked="false">
              <v:fill type="solid"/>
            </v:rect>
            <v:rect style="position:absolute;left:1308;top:5880;width:161;height:235" filled="false" stroked="true" strokeweight=".651pt" strokecolor="#231f20">
              <v:stroke dashstyle="solid"/>
            </v:rect>
            <v:line style="position:absolute" from="3270,1483" to="4132,4234" stroked="true" strokeweight="1.034pt" strokecolor="#231f20">
              <v:stroke dashstyle="solid"/>
            </v:line>
            <v:shape style="position:absolute;left:4311;top:5705;width:8;height:10" coordorigin="4311,5705" coordsize="8,10" path="m4316,5705l4313,5705,4311,5708,4311,5712,4314,5715,4316,5715,4319,5715,4318,5708,4316,5705xe" filled="true" fillcolor="#00a650" stroked="false">
              <v:path arrowok="t"/>
              <v:fill type="solid"/>
            </v:shape>
            <v:shape style="position:absolute;left:4311;top:5705;width:8;height:10" coordorigin="4311,5705" coordsize="8,10" path="m4313,5705l4316,5705,4318,5708,4319,5715,4316,5715,4314,5715,4311,5712,4311,5708,4313,5705xe" filled="false" stroked="true" strokeweight=".279pt" strokecolor="#231f20">
              <v:path arrowok="t"/>
              <v:stroke dashstyle="solid"/>
            </v:shape>
            <v:rect style="position:absolute;left:4291;top:5600;width:83;height:29" filled="true" fillcolor="#231f20" stroked="false">
              <v:fill type="solid"/>
            </v:rect>
            <v:shape style="position:absolute;left:4291;top:5600;width:165;height:60" coordorigin="4291,5600" coordsize="165,60" path="m4373,5629l4291,5629,4291,5600,4373,5600,4373,5629xm4373,5660l4291,5660,4291,5629,4373,5629,4373,5660xm4456,5629l4373,5629,4373,5600,4456,5600,4456,5629xe" filled="false" stroked="true" strokeweight=".259pt" strokecolor="#231f20">
              <v:path arrowok="t"/>
              <v:stroke dashstyle="solid"/>
            </v:shape>
            <v:rect style="position:absolute;left:4373;top:5628;width:83;height:32" filled="true" fillcolor="#231f20" stroked="false">
              <v:fill type="solid"/>
            </v:rect>
            <v:rect style="position:absolute;left:4373;top:5628;width:83;height:32" filled="false" stroked="true" strokeweight=".259pt" strokecolor="#231f20">
              <v:stroke dashstyle="solid"/>
            </v:rect>
            <v:rect style="position:absolute;left:4455;top:5600;width:81;height:29" filled="true" fillcolor="#231f20" stroked="false">
              <v:fill type="solid"/>
            </v:rect>
            <v:shape style="position:absolute;left:4455;top:5600;width:163;height:60" coordorigin="4456,5600" coordsize="163,60" path="m4536,5629l4456,5629,4456,5600,4536,5600,4536,5629xm4536,5660l4456,5660,4456,5629,4536,5629,4536,5660xm4619,5629l4536,5629,4536,5600,4619,5600,4619,5629xe" filled="false" stroked="true" strokeweight=".259pt" strokecolor="#231f20">
              <v:path arrowok="t"/>
              <v:stroke dashstyle="solid"/>
            </v:shape>
            <v:rect style="position:absolute;left:4536;top:5628;width:83;height:32" filled="true" fillcolor="#231f20" stroked="false">
              <v:fill type="solid"/>
            </v:rect>
            <v:rect style="position:absolute;left:4536;top:5628;width:83;height:32" filled="false" stroked="true" strokeweight=".259pt" strokecolor="#231f20">
              <v:stroke dashstyle="solid"/>
            </v:rect>
            <v:rect style="position:absolute;left:4618;top:5600;width:83;height:29" filled="true" fillcolor="#231f20" stroked="false">
              <v:fill type="solid"/>
            </v:rect>
            <v:shape style="position:absolute;left:4618;top:5600;width:493;height:60" coordorigin="4619,5600" coordsize="493,60" path="m4701,5629l4619,5629,4619,5600,4701,5600,4701,5629xm4701,5660l4619,5660,4619,5629,4701,5629,4701,5660xm5111,5629l4701,5629,4701,5600,5111,5600,5111,5629xe" filled="false" stroked="true" strokeweight=".259pt" strokecolor="#231f20">
              <v:path arrowok="t"/>
              <v:stroke dashstyle="solid"/>
            </v:shape>
            <v:line style="position:absolute" from="4701,5644" to="5111,5644" stroked="true" strokeweight="1.568pt" strokecolor="#231f20">
              <v:stroke dashstyle="solid"/>
            </v:line>
            <v:rect style="position:absolute;left:4701;top:5628;width:410;height:32" filled="false" stroked="true" strokeweight=".259pt" strokecolor="#231f20">
              <v:stroke dashstyle="solid"/>
            </v:rect>
            <v:rect style="position:absolute;left:4291;top:5684;width:82;height:107" filled="true" fillcolor="#ffffff" stroked="false">
              <v:fill type="solid"/>
            </v:rect>
            <v:shape style="position:absolute;left:5077;top:1687;width:83;height:343" coordorigin="5077,1688" coordsize="83,343" path="m5133,1779l5105,1779,5105,2030,5133,2030,5133,1779xm5119,1688l5077,1779,5160,1779,5119,1688xe" filled="true" fillcolor="#231f20" stroked="false">
              <v:path arrowok="t"/>
              <v:fill type="solid"/>
            </v:shape>
            <v:rect style="position:absolute;left:5645;top:1250;width:5519;height:3375" filled="false" stroked="true" strokeweight=".656pt" strokecolor="#231f20">
              <v:stroke dashstyle="solid"/>
            </v:rect>
            <v:rect style="position:absolute;left:5694;top:1296;width:5423;height:2234" filled="true" fillcolor="#54a275" stroked="false">
              <v:fill type="solid"/>
            </v:rect>
            <v:rect style="position:absolute;left:5694;top:1296;width:5423;height:2234" filled="false" stroked="true" strokeweight=".284pt" strokecolor="#231f20">
              <v:stroke dashstyle="solid"/>
            </v:rect>
            <v:shape style="position:absolute;left:6837;top:1755;width:685;height:287" type="#_x0000_t75" stroked="false">
              <v:imagedata r:id="rId214" o:title=""/>
            </v:shape>
            <v:shape style="position:absolute;left:8163;top:1294;width:2719;height:884" coordorigin="8163,1294" coordsize="2719,884" path="m10808,2043l10290,2043,10296,2070,10393,2076,10483,2094,10716,2178,10808,2043xm9574,1294l9532,1317,8674,1707,8332,2023,8163,2075,8192,2152,8587,2100,8735,2100,8777,2098,8931,2066,10014,2066,10131,2051,10290,2043,10808,2043,10882,1936,10620,1297,10186,1297,9574,1294xm9899,2084l9783,2084,9793,2109,9899,2084xm8735,2100l8587,2100,8715,2101,8735,2100xm10014,2066l8931,2066,9199,2076,9496,2097,9783,2084,9899,2084,9926,2078,10014,2066xm10619,1296l10186,1297,10620,1297,10619,1296xe" filled="true" fillcolor="#fff200" stroked="false">
              <v:path arrowok="t"/>
              <v:fill type="solid"/>
            </v:shape>
            <v:shape style="position:absolute;left:8163;top:1294;width:2719;height:884" coordorigin="8163,1294" coordsize="2719,884" path="m8192,2152l8587,2100,8715,2101,8777,2098,8931,2066,9199,2076,9496,2097,9783,2084,9793,2109,9926,2078,10131,2051,10290,2043,10296,2070,10393,2076,10483,2094,10716,2178,10882,1936,10619,1296,10186,1297,9574,1294,9532,1317,8674,1707,8332,2023,8163,2075,8192,2152xe" filled="false" stroked="true" strokeweight=".284pt" strokecolor="#231f20">
              <v:path arrowok="t"/>
              <v:stroke dashstyle="solid"/>
            </v:shape>
            <v:shape style="position:absolute;left:9103;top:1662;width:161;height:84" coordorigin="9104,1663" coordsize="161,84" path="m9200,1663l9104,1697,9117,1746,9247,1732,9264,1719,9258,1694,9200,1663xe" filled="true" fillcolor="#54a275" stroked="false">
              <v:path arrowok="t"/>
              <v:fill type="solid"/>
            </v:shape>
            <v:shape style="position:absolute;left:9103;top:1662;width:161;height:84" coordorigin="9104,1663" coordsize="161,84" path="m9247,1732l9117,1746,9104,1697,9200,1663,9258,1694,9264,1719,9247,1732xe" filled="false" stroked="true" strokeweight=".284pt" strokecolor="#231f20">
              <v:path arrowok="t"/>
              <v:stroke dashstyle="solid"/>
            </v:shape>
            <v:shape style="position:absolute;left:9554;top:1632;width:987;height:188" coordorigin="9555,1632" coordsize="987,188" path="m9639,1638l9600,1647,9574,1691,9555,1698,9776,1699,10073,1707,10541,1820,10467,1790,10321,1726,10247,1697,10172,1674,10094,1659,9929,1640,9684,1640,9639,1638xm9826,1632l9740,1635,9684,1640,9929,1640,9912,1638,9826,1632xe" filled="true" fillcolor="#6c8cc7" stroked="false">
              <v:path arrowok="t"/>
              <v:fill type="solid"/>
            </v:shape>
            <v:shape style="position:absolute;left:9554;top:1632;width:987;height:188" coordorigin="9555,1632" coordsize="987,188" path="m9555,1698l9776,1699,10073,1707,10541,1820,10467,1790,10394,1758,10321,1726,10247,1697,10172,1674,10094,1659,9912,1638,9826,1632,9740,1635,9684,1640,9639,1638,9600,1647,9574,1691,9555,1698xe" filled="false" stroked="true" strokeweight=".284pt" strokecolor="#231f20">
              <v:path arrowok="t"/>
              <v:stroke dashstyle="solid"/>
            </v:shape>
            <v:shape style="position:absolute;left:9454;top:1366;width:933;height:308" coordorigin="9455,1367" coordsize="933,308" path="m9477,1367l9455,1398,9646,1426,9769,1433,9794,1439,9820,1445,9845,1452,9870,1461,10374,1674,10387,1659,9847,1433,9838,1433,9762,1404,9640,1398,9477,1367xe" filled="true" fillcolor="#6c8cc7" stroked="false">
              <v:path arrowok="t"/>
              <v:fill type="solid"/>
            </v:shape>
            <v:shape style="position:absolute;left:9454;top:1366;width:933;height:308" coordorigin="9455,1367" coordsize="933,308" path="m9455,1398l9646,1426,9769,1433,9794,1439,9820,1445,9845,1452,9870,1461,10374,1674,10387,1659,9847,1433,9838,1433,9762,1404,9640,1398,9477,1367,9455,1398xe" filled="false" stroked="true" strokeweight=".284pt" strokecolor="#231f20">
              <v:path arrowok="t"/>
              <v:stroke dashstyle="solid"/>
            </v:shape>
            <v:shape style="position:absolute;left:10500;top:1718;width:124;height:117" type="#_x0000_t75" stroked="false">
              <v:imagedata r:id="rId215" o:title=""/>
            </v:shape>
            <v:shape style="position:absolute;left:7160;top:2600;width:3966;height:929" coordorigin="7160,2601" coordsize="3966,929" path="m11121,2601l10519,2605,10272,2625,10160,2631,9786,2716,9405,2769,9105,2861,8874,2979,8746,3018,8499,3031,7160,3529,11126,3529,11121,2601xe" filled="true" fillcolor="#faa74a" stroked="false">
              <v:path arrowok="t"/>
              <v:fill type="solid"/>
            </v:shape>
            <v:shape style="position:absolute;left:7160;top:2600;width:3966;height:929" coordorigin="7160,2601" coordsize="3966,929" path="m11126,3529l11121,2601,10519,2605,10272,2625,10160,2631,9786,2716,9405,2769,9105,2861,8874,2979,8746,3018,8499,3031,7160,3529,11126,3529xe" filled="false" stroked="true" strokeweight=".284pt" strokecolor="#231f20">
              <v:path arrowok="t"/>
              <v:stroke dashstyle="solid"/>
            </v:shape>
            <v:shape style="position:absolute;left:7702;top:3039;width:921;height:489" coordorigin="7703,3040" coordsize="921,489" path="m8260,3040l8223,3041,8188,3044,8154,3050,8122,3060,8088,3065,8053,3073,8019,3082,7984,3091,7922,3109,7856,3138,7804,3169,7749,3239,7727,3303,7724,3335,7717,3392,7704,3455,7703,3507,7731,3528,8510,3528,8543,3486,8573,3442,8597,3391,8610,3332,8620,3293,8619,3216,8595,3149,8530,3088,8420,3050,8260,3040xe" filled="true" fillcolor="#f5821f" stroked="false">
              <v:path arrowok="t"/>
              <v:fill type="solid"/>
            </v:shape>
            <v:shape style="position:absolute;left:7702;top:3039;width:921;height:489" coordorigin="7703,3040" coordsize="921,489" path="m8510,3528l8543,3486,8573,3442,8597,3391,8610,3332,8620,3293,8619,3216,8595,3149,8530,3088,8420,3050,8260,3040,8223,3041,8188,3044,8154,3050,8122,3060,8088,3065,8053,3073,8019,3082,7984,3091,7922,3109,7856,3138,7804,3169,7749,3239,7727,3303,7724,3335,7717,3392,7704,3455,7703,3507,7731,3528,8510,3528xe" filled="false" stroked="true" strokeweight=".284pt" strokecolor="#231f20">
              <v:path arrowok="t"/>
              <v:stroke dashstyle="solid"/>
            </v:shape>
            <v:shape style="position:absolute;left:5883;top:2248;width:4307;height:1209" type="#_x0000_t75" stroked="false">
              <v:imagedata r:id="rId216" o:title=""/>
            </v:shape>
            <v:shape style="position:absolute;left:9954;top:1294;width:171;height:55" coordorigin="9954,1294" coordsize="171,55" path="m10029,1294l9954,1296,10125,1349,10101,1332,10079,1315,10055,1300,10029,1294xe" filled="true" fillcolor="#00a650" stroked="false">
              <v:path arrowok="t"/>
              <v:fill type="solid"/>
            </v:shape>
            <v:shape style="position:absolute;left:9954;top:1294;width:171;height:55" coordorigin="9954,1294" coordsize="171,55" path="m9954,1296l10125,1349,10101,1332,10079,1315,10055,1300,10029,1294,9954,1296xe" filled="false" stroked="true" strokeweight=".284pt" strokecolor="#231f20">
              <v:path arrowok="t"/>
              <v:stroke dashstyle="solid"/>
            </v:shape>
            <v:rect style="position:absolute;left:5694;top:1296;width:5421;height:2234" filled="false" stroked="true" strokeweight=".656pt" strokecolor="#231f20">
              <v:stroke dashstyle="solid"/>
            </v:rect>
            <v:shape style="position:absolute;left:5692;top:2730;width:1433;height:634" type="#_x0000_t75" stroked="false">
              <v:imagedata r:id="rId217" o:title=""/>
            </v:shape>
            <v:line style="position:absolute" from="6105,3539" to="6110,3539" stroked="true" strokeweight=".218pt" strokecolor="#2e3092">
              <v:stroke dashstyle="solid"/>
            </v:line>
            <v:shape style="position:absolute;left:5690;top:1279;width:5441;height:2255" type="#_x0000_t75" stroked="false">
              <v:imagedata r:id="rId218" o:title=""/>
            </v:shape>
            <v:shape style="position:absolute;left:8423;top:4125;width:277;height:210" type="#_x0000_t75" stroked="false">
              <v:imagedata r:id="rId219" o:title=""/>
            </v:shape>
            <v:shape style="position:absolute;left:8423;top:3797;width:277;height:210" type="#_x0000_t75" stroked="false">
              <v:imagedata r:id="rId220" o:title=""/>
            </v:shape>
            <v:shape style="position:absolute;left:5930;top:3943;width:271;height:204" coordorigin="5930,3944" coordsize="271,204" path="m6066,3944l6013,3952,5970,3973,5941,4006,5930,4045,5941,4085,5970,4117,6013,4139,6066,4147,6118,4139,6161,4117,6190,4085,6201,4045,6190,4006,6161,3973,6118,3952,6066,3944xe" filled="true" fillcolor="#6c8cc7" stroked="false">
              <v:path arrowok="t"/>
              <v:fill type="solid"/>
            </v:shape>
            <v:shape style="position:absolute;left:5930;top:3943;width:271;height:204" coordorigin="5930,3944" coordsize="271,204" path="m6066,4147l6118,4139,6161,4117,6190,4085,6201,4045,6190,4006,6161,3973,6118,3952,6066,3944,6013,3952,5970,3973,5941,4006,5930,4045,5941,4085,5970,4117,6013,4139,6066,4147xe" filled="false" stroked="true" strokeweight=".284pt" strokecolor="#231f20">
              <v:path arrowok="t"/>
              <v:stroke dashstyle="solid"/>
            </v:shape>
            <v:shape style="position:absolute;left:5937;top:4380;width:271;height:204" coordorigin="5938,4381" coordsize="271,204" path="m6073,4381l6020,4389,5977,4411,5948,4443,5938,4483,5948,4522,5977,4555,6020,4576,6073,4584,6126,4576,6169,4555,6198,4522,6208,4483,6198,4443,6169,4411,6126,4389,6073,4381xe" filled="true" fillcolor="#fff200" stroked="false">
              <v:path arrowok="t"/>
              <v:fill type="solid"/>
            </v:shape>
            <v:shape style="position:absolute;left:5937;top:4380;width:271;height:204" coordorigin="5938,4381" coordsize="271,204" path="m6073,4584l6126,4576,6169,4555,6198,4522,6208,4483,6198,4443,6169,4411,6126,4389,6073,4381,6020,4389,5977,4411,5948,4443,5938,4483,5948,4522,5977,4555,6020,4576,6073,4584xe" filled="false" stroked="true" strokeweight=".284pt" strokecolor="#231f20">
              <v:path arrowok="t"/>
              <v:stroke dashstyle="solid"/>
            </v:shape>
            <v:shape style="position:absolute;left:5940;top:4205;width:271;height:204" coordorigin="5941,4205" coordsize="271,204" path="m6076,4205l6023,4213,5980,4235,5951,4267,5941,4307,5951,4347,5980,4379,6023,4401,6076,4409,6129,4401,6172,4379,6201,4347,6211,4307,6201,4267,6172,4235,6129,4213,6076,4205xe" filled="true" fillcolor="#54a275" stroked="false">
              <v:path arrowok="t"/>
              <v:fill type="solid"/>
            </v:shape>
            <v:shape style="position:absolute;left:5940;top:4205;width:271;height:204" coordorigin="5941,4205" coordsize="271,204" path="m6076,4409l6129,4401,6172,4379,6201,4347,6211,4307,6201,4267,6172,4235,6129,4213,6076,4205,6023,4213,5980,4235,5951,4267,5941,4307,5951,4347,5980,4379,6023,4401,6076,4409xe" filled="false" stroked="true" strokeweight=".284pt" strokecolor="#231f20">
              <v:path arrowok="t"/>
              <v:stroke dashstyle="solid"/>
            </v:shape>
            <v:shape style="position:absolute;left:5930;top:3777;width:271;height:204" coordorigin="5930,3778" coordsize="271,204" path="m6066,3778l6013,3786,5970,3808,5941,3840,5930,3880,5941,3919,5970,3952,6013,3973,6066,3981,6118,3973,6161,3952,6190,3919,6201,3880,6190,3840,6161,3808,6118,3786,6066,3778xe" filled="true" fillcolor="#f5821f" stroked="false">
              <v:path arrowok="t"/>
              <v:fill type="solid"/>
            </v:shape>
            <v:shape style="position:absolute;left:5930;top:3777;width:271;height:204" coordorigin="5930,3778" coordsize="271,204" path="m6066,3981l6118,3973,6161,3952,6190,3919,6201,3880,6190,3840,6161,3808,6118,3786,6066,3778,6013,3786,5970,3808,5941,3840,5930,3880,5941,3919,5970,3952,6013,3973,6066,3981xe" filled="false" stroked="true" strokeweight=".284pt" strokecolor="#231f20">
              <v:path arrowok="t"/>
              <v:stroke dashstyle="solid"/>
            </v:shape>
            <v:shape style="position:absolute;left:5930;top:3603;width:271;height:204" coordorigin="5930,3604" coordsize="271,204" path="m6066,3604l6013,3612,5970,3634,5941,3666,5930,3706,5941,3745,5970,3778,6013,3800,6066,3808,6118,3800,6161,3778,6190,3745,6201,3706,6190,3666,6161,3634,6118,3612,6066,3604xe" filled="true" fillcolor="#faa74a" stroked="false">
              <v:path arrowok="t"/>
              <v:fill type="solid"/>
            </v:shape>
            <v:shape style="position:absolute;left:5930;top:3603;width:271;height:204" coordorigin="5930,3604" coordsize="271,204" path="m6066,3808l6118,3800,6161,3778,6190,3745,6201,3706,6190,3666,6161,3634,6118,3612,6066,3604,6013,3612,5970,3634,5941,3666,5930,3706,5941,3745,5970,3778,6013,3800,6066,3808xe" filled="false" stroked="true" strokeweight=".284pt" strokecolor="#231f20">
              <v:path arrowok="t"/>
              <v:stroke dashstyle="solid"/>
            </v:shape>
            <v:shape style="position:absolute;left:8513;top:4436;width:111;height:102" coordorigin="8513,4437" coordsize="111,102" path="m8513,4538l8624,4538,8573,4437,8513,4538xe" filled="false" stroked="true" strokeweight=".692pt" strokecolor="#231f20">
              <v:path arrowok="t"/>
              <v:stroke dashstyle="solid"/>
            </v:shape>
            <v:shape style="position:absolute;left:6272;top:3659;width:1823;height:908" type="#_x0000_t202" filled="false" stroked="false">
              <v:textbox inset="0,0,0,0">
                <w:txbxContent>
                  <w:p>
                    <w:pPr>
                      <w:spacing w:line="146" w:lineRule="exact" w:before="0"/>
                      <w:ind w:left="0" w:right="0" w:firstLine="0"/>
                      <w:jc w:val="left"/>
                      <w:rPr>
                        <w:rFonts w:ascii="Arial"/>
                        <w:sz w:val="13"/>
                      </w:rPr>
                    </w:pPr>
                    <w:r>
                      <w:rPr>
                        <w:rFonts w:ascii="Arial"/>
                        <w:color w:val="231F20"/>
                        <w:sz w:val="13"/>
                      </w:rPr>
                      <w:t>Granodiorite</w:t>
                    </w:r>
                  </w:p>
                  <w:p>
                    <w:pPr>
                      <w:spacing w:line="261" w:lineRule="auto" w:before="10"/>
                      <w:ind w:left="0" w:right="0" w:firstLine="0"/>
                      <w:jc w:val="left"/>
                      <w:rPr>
                        <w:rFonts w:ascii="Arial"/>
                        <w:sz w:val="13"/>
                      </w:rPr>
                    </w:pPr>
                    <w:r>
                      <w:rPr>
                        <w:rFonts w:ascii="Arial"/>
                        <w:color w:val="231F20"/>
                        <w:sz w:val="13"/>
                      </w:rPr>
                      <w:t>Granodiorite, quartz monzonite Gabbro, diorite</w:t>
                    </w:r>
                  </w:p>
                  <w:p>
                    <w:pPr>
                      <w:spacing w:line="280" w:lineRule="auto" w:before="100"/>
                      <w:ind w:left="0" w:right="892" w:firstLine="0"/>
                      <w:jc w:val="left"/>
                      <w:rPr>
                        <w:rFonts w:ascii="Arial"/>
                        <w:sz w:val="13"/>
                      </w:rPr>
                    </w:pPr>
                    <w:r>
                      <w:rPr>
                        <w:rFonts w:ascii="Arial"/>
                        <w:color w:val="231F20"/>
                        <w:sz w:val="13"/>
                      </w:rPr>
                      <w:t>Mafic volcanics Felsic volcanics</w:t>
                    </w:r>
                  </w:p>
                </w:txbxContent>
              </v:textbox>
              <w10:wrap type="none"/>
            </v:shape>
            <v:shape style="position:absolute;left:8502;top:3577;width:1868;height:975" type="#_x0000_t202" filled="false" stroked="false">
              <v:textbox inset="0,0,0,0">
                <w:txbxContent>
                  <w:p>
                    <w:pPr>
                      <w:spacing w:line="146" w:lineRule="exact" w:before="0"/>
                      <w:ind w:left="0" w:right="0" w:firstLine="0"/>
                      <w:jc w:val="left"/>
                      <w:rPr>
                        <w:rFonts w:ascii="Arial"/>
                        <w:sz w:val="13"/>
                      </w:rPr>
                    </w:pPr>
                    <w:r>
                      <w:rPr>
                        <w:rFonts w:ascii="Arial"/>
                        <w:color w:val="231F20"/>
                        <w:sz w:val="13"/>
                      </w:rPr>
                      <w:t>Subvolcanic Intrusions</w:t>
                    </w:r>
                  </w:p>
                  <w:p>
                    <w:pPr>
                      <w:spacing w:line="211" w:lineRule="auto" w:before="55"/>
                      <w:ind w:left="241" w:right="17" w:firstLine="0"/>
                      <w:jc w:val="left"/>
                      <w:rPr>
                        <w:rFonts w:ascii="Arial"/>
                        <w:sz w:val="13"/>
                      </w:rPr>
                    </w:pPr>
                    <w:r>
                      <w:rPr>
                        <w:rFonts w:ascii="Arial"/>
                        <w:color w:val="231F20"/>
                        <w:sz w:val="13"/>
                      </w:rPr>
                      <w:t>Biedelman Bay subvolcanic intrusive complex</w:t>
                    </w:r>
                  </w:p>
                  <w:p>
                    <w:pPr>
                      <w:spacing w:line="254" w:lineRule="exact" w:before="24"/>
                      <w:ind w:left="249" w:right="53" w:hanging="8"/>
                      <w:jc w:val="left"/>
                      <w:rPr>
                        <w:rFonts w:ascii="Arial"/>
                        <w:sz w:val="13"/>
                      </w:rPr>
                    </w:pPr>
                    <w:r>
                      <w:rPr>
                        <w:rFonts w:ascii="Arial"/>
                        <w:color w:val="231F20"/>
                        <w:sz w:val="13"/>
                      </w:rPr>
                      <w:t>Pike Lake layered complex VMS deposits</w:t>
                    </w:r>
                  </w:p>
                </w:txbxContent>
              </v:textbox>
              <w10:wrap type="none"/>
            </v:shape>
            <v:shape style="position:absolute;left:10954;top:4338;width:150;height:250" type="#_x0000_t202" filled="false" stroked="false">
              <v:textbox inset="0,0,0,0">
                <w:txbxContent>
                  <w:p>
                    <w:pPr>
                      <w:spacing w:before="13"/>
                      <w:ind w:left="0" w:right="0" w:firstLine="0"/>
                      <w:jc w:val="left"/>
                      <w:rPr>
                        <w:rFonts w:ascii="Arial"/>
                        <w:b/>
                        <w:sz w:val="18"/>
                      </w:rPr>
                    </w:pPr>
                    <w:r>
                      <w:rPr>
                        <w:rFonts w:ascii="Arial"/>
                        <w:b/>
                        <w:color w:val="231F20"/>
                        <w:sz w:val="18"/>
                      </w:rPr>
                      <w:t>B</w:t>
                    </w:r>
                  </w:p>
                </w:txbxContent>
              </v:textbox>
              <w10:wrap type="none"/>
            </v:shape>
            <v:shape style="position:absolute;left:9771;top:3382;width:382;height:144" type="#_x0000_t202" filled="false" stroked="false">
              <v:textbox inset="0,0,0,0">
                <w:txbxContent>
                  <w:p>
                    <w:pPr>
                      <w:spacing w:line="143" w:lineRule="exact" w:before="0"/>
                      <w:ind w:left="0" w:right="0" w:firstLine="0"/>
                      <w:jc w:val="left"/>
                      <w:rPr>
                        <w:rFonts w:ascii="Arial" w:hAnsi="Arial"/>
                        <w:sz w:val="13"/>
                      </w:rPr>
                    </w:pPr>
                    <w:r>
                      <w:rPr>
                        <w:rFonts w:ascii="Arial" w:hAnsi="Arial"/>
                        <w:color w:val="231F20"/>
                        <w:sz w:val="13"/>
                      </w:rPr>
                      <w:t>91°00’</w:t>
                    </w:r>
                  </w:p>
                </w:txbxContent>
              </v:textbox>
              <w10:wrap type="none"/>
            </v:shape>
            <v:shape style="position:absolute;left:10734;top:2460;width:377;height:144" type="#_x0000_t202" filled="false" stroked="false">
              <v:textbox inset="0,0,0,0">
                <w:txbxContent>
                  <w:p>
                    <w:pPr>
                      <w:spacing w:line="143" w:lineRule="exact" w:before="0"/>
                      <w:ind w:left="0" w:right="0" w:firstLine="0"/>
                      <w:jc w:val="left"/>
                      <w:rPr>
                        <w:rFonts w:ascii="Arial" w:hAnsi="Arial"/>
                        <w:sz w:val="13"/>
                      </w:rPr>
                    </w:pPr>
                    <w:r>
                      <w:rPr>
                        <w:rFonts w:ascii="Arial" w:hAnsi="Arial"/>
                        <w:color w:val="231F20"/>
                        <w:sz w:val="13"/>
                      </w:rPr>
                      <w:t>49°50’</w:t>
                    </w:r>
                  </w:p>
                </w:txbxContent>
              </v:textbox>
              <w10:wrap type="none"/>
            </v:shape>
            <v:shape style="position:absolute;left:9214;top:1492;width:92;height:144" type="#_x0000_t202" filled="false" stroked="false">
              <v:textbox inset="0,0,0,0">
                <w:txbxContent>
                  <w:p>
                    <w:pPr>
                      <w:spacing w:line="143" w:lineRule="exact" w:before="0"/>
                      <w:ind w:left="0" w:right="0" w:firstLine="0"/>
                      <w:jc w:val="left"/>
                      <w:rPr>
                        <w:rFonts w:ascii="Arial"/>
                        <w:sz w:val="13"/>
                      </w:rPr>
                    </w:pPr>
                    <w:r>
                      <w:rPr>
                        <w:rFonts w:ascii="Arial"/>
                        <w:color w:val="231F20"/>
                        <w:w w:val="98"/>
                        <w:sz w:val="13"/>
                      </w:rPr>
                      <w:t>5</w:t>
                    </w:r>
                  </w:p>
                </w:txbxContent>
              </v:textbox>
              <w10:wrap type="none"/>
            </v:shape>
            <v:shape style="position:absolute;left:8758;top:1480;width:191;height:144" type="#_x0000_t202" filled="false" stroked="false">
              <v:textbox inset="0,0,0,0">
                <w:txbxContent>
                  <w:p>
                    <w:pPr>
                      <w:spacing w:line="143" w:lineRule="exact" w:before="0"/>
                      <w:ind w:left="0" w:right="0" w:firstLine="0"/>
                      <w:jc w:val="left"/>
                      <w:rPr>
                        <w:rFonts w:ascii="Arial"/>
                        <w:sz w:val="13"/>
                      </w:rPr>
                    </w:pPr>
                    <w:r>
                      <w:rPr>
                        <w:rFonts w:ascii="Arial"/>
                        <w:color w:val="231F20"/>
                        <w:sz w:val="13"/>
                      </w:rPr>
                      <w:t>km</w:t>
                    </w:r>
                  </w:p>
                </w:txbxContent>
              </v:textbox>
              <w10:wrap type="none"/>
            </v:shape>
            <v:shape style="position:absolute;left:8439;top:1479;width:92;height:144" type="#_x0000_t202" filled="false" stroked="false">
              <v:textbox inset="0,0,0,0">
                <w:txbxContent>
                  <w:p>
                    <w:pPr>
                      <w:spacing w:line="143" w:lineRule="exact" w:before="0"/>
                      <w:ind w:left="0" w:right="0" w:firstLine="0"/>
                      <w:jc w:val="left"/>
                      <w:rPr>
                        <w:rFonts w:ascii="Arial"/>
                        <w:sz w:val="13"/>
                      </w:rPr>
                    </w:pPr>
                    <w:r>
                      <w:rPr>
                        <w:rFonts w:ascii="Arial"/>
                        <w:color w:val="231F20"/>
                        <w:w w:val="98"/>
                        <w:sz w:val="13"/>
                      </w:rPr>
                      <w:t>0</w:t>
                    </w:r>
                  </w:p>
                </w:txbxContent>
              </v:textbox>
              <w10:wrap type="none"/>
            </v:shape>
            <v:shape style="position:absolute;left:8146;top:1298;width:115;height:147" type="#_x0000_t202" filled="false" stroked="false">
              <v:textbox inset="0,0,0,0">
                <w:txbxContent>
                  <w:p>
                    <w:pPr>
                      <w:spacing w:line="146" w:lineRule="exact" w:before="0"/>
                      <w:ind w:left="0" w:right="0" w:firstLine="0"/>
                      <w:jc w:val="left"/>
                      <w:rPr>
                        <w:rFonts w:ascii="Arial"/>
                        <w:b/>
                        <w:sz w:val="13"/>
                      </w:rPr>
                    </w:pPr>
                    <w:r>
                      <w:rPr>
                        <w:rFonts w:ascii="Arial"/>
                        <w:b/>
                        <w:color w:val="231F20"/>
                        <w:w w:val="100"/>
                        <w:sz w:val="13"/>
                      </w:rPr>
                      <w:t>N</w:t>
                    </w:r>
                  </w:p>
                </w:txbxContent>
              </v:textbox>
              <w10:wrap type="none"/>
            </v:shape>
            <v:shape style="position:absolute;left:1526;top:5848;width:4000;height:250" type="#_x0000_t202" filled="false" stroked="false">
              <v:textbox inset="0,0,0,0">
                <w:txbxContent>
                  <w:p>
                    <w:pPr>
                      <w:tabs>
                        <w:tab w:pos="3849" w:val="left" w:leader="none"/>
                      </w:tabs>
                      <w:spacing w:before="16"/>
                      <w:ind w:left="0" w:right="0" w:firstLine="0"/>
                      <w:jc w:val="left"/>
                      <w:rPr>
                        <w:rFonts w:ascii="Arial"/>
                        <w:b/>
                        <w:sz w:val="18"/>
                      </w:rPr>
                    </w:pPr>
                    <w:r>
                      <w:rPr>
                        <w:rFonts w:ascii="Arial"/>
                        <w:color w:val="231F20"/>
                        <w:sz w:val="12"/>
                      </w:rPr>
                      <w:t>Horne</w:t>
                    </w:r>
                    <w:r>
                      <w:rPr>
                        <w:rFonts w:ascii="Arial"/>
                        <w:color w:val="231F20"/>
                        <w:spacing w:val="-7"/>
                        <w:sz w:val="12"/>
                      </w:rPr>
                      <w:t> </w:t>
                    </w:r>
                    <w:r>
                      <w:rPr>
                        <w:rFonts w:ascii="Arial"/>
                        <w:color w:val="231F20"/>
                        <w:sz w:val="12"/>
                      </w:rPr>
                      <w:t>Volcanic</w:t>
                    </w:r>
                    <w:r>
                      <w:rPr>
                        <w:rFonts w:ascii="Arial"/>
                        <w:color w:val="231F20"/>
                        <w:spacing w:val="-7"/>
                        <w:sz w:val="12"/>
                      </w:rPr>
                      <w:t> </w:t>
                    </w:r>
                    <w:r>
                      <w:rPr>
                        <w:rFonts w:ascii="Arial"/>
                        <w:color w:val="231F20"/>
                        <w:sz w:val="12"/>
                      </w:rPr>
                      <w:t>Sequence</w:t>
                      <w:tab/>
                    </w:r>
                    <w:r>
                      <w:rPr>
                        <w:rFonts w:ascii="Arial"/>
                        <w:b/>
                        <w:color w:val="231F20"/>
                        <w:sz w:val="18"/>
                      </w:rPr>
                      <w:t>A</w:t>
                    </w:r>
                  </w:p>
                </w:txbxContent>
              </v:textbox>
              <w10:wrap type="none"/>
            </v:shape>
            <v:shape style="position:absolute;left:5060;top:5679;width:91;height:141" type="#_x0000_t202" filled="false" stroked="false">
              <v:textbox inset="0,0,0,0">
                <w:txbxContent>
                  <w:p>
                    <w:pPr>
                      <w:spacing w:before="1"/>
                      <w:ind w:left="0" w:right="0" w:firstLine="0"/>
                      <w:jc w:val="left"/>
                      <w:rPr>
                        <w:rFonts w:ascii="Arial"/>
                        <w:sz w:val="12"/>
                      </w:rPr>
                    </w:pPr>
                    <w:r>
                      <w:rPr>
                        <w:rFonts w:ascii="Arial"/>
                        <w:color w:val="231F20"/>
                        <w:w w:val="105"/>
                        <w:sz w:val="12"/>
                      </w:rPr>
                      <w:t>5</w:t>
                    </w:r>
                  </w:p>
                </w:txbxContent>
              </v:textbox>
              <w10:wrap type="none"/>
            </v:shape>
            <v:shape style="position:absolute;left:4610;top:5668;width:189;height:141" type="#_x0000_t202" filled="false" stroked="false">
              <v:textbox inset="0,0,0,0">
                <w:txbxContent>
                  <w:p>
                    <w:pPr>
                      <w:spacing w:before="1"/>
                      <w:ind w:left="0" w:right="0" w:firstLine="0"/>
                      <w:jc w:val="left"/>
                      <w:rPr>
                        <w:rFonts w:ascii="Arial"/>
                        <w:sz w:val="12"/>
                      </w:rPr>
                    </w:pPr>
                    <w:r>
                      <w:rPr>
                        <w:rFonts w:ascii="Arial"/>
                        <w:color w:val="231F20"/>
                        <w:w w:val="105"/>
                        <w:sz w:val="12"/>
                      </w:rPr>
                      <w:t>km</w:t>
                    </w:r>
                  </w:p>
                </w:txbxContent>
              </v:textbox>
              <w10:wrap type="none"/>
            </v:shape>
            <v:shape style="position:absolute;left:4296;top:5666;width:91;height:141" type="#_x0000_t202" filled="false" stroked="false">
              <v:textbox inset="0,0,0,0">
                <w:txbxContent>
                  <w:p>
                    <w:pPr>
                      <w:spacing w:before="1"/>
                      <w:ind w:left="0" w:right="0" w:firstLine="0"/>
                      <w:jc w:val="left"/>
                      <w:rPr>
                        <w:rFonts w:ascii="Arial"/>
                        <w:sz w:val="12"/>
                      </w:rPr>
                    </w:pPr>
                    <w:r>
                      <w:rPr>
                        <w:rFonts w:ascii="Arial"/>
                        <w:color w:val="231F20"/>
                        <w:w w:val="105"/>
                        <w:sz w:val="12"/>
                      </w:rPr>
                      <w:t>0</w:t>
                    </w:r>
                  </w:p>
                </w:txbxContent>
              </v:textbox>
              <w10:wrap type="none"/>
            </v:shape>
            <v:shape style="position:absolute;left:1519;top:5377;width:2340;height:416" type="#_x0000_t202" filled="false" stroked="false">
              <v:textbox inset="0,0,0,0">
                <w:txbxContent>
                  <w:p>
                    <w:pPr>
                      <w:spacing w:line="133" w:lineRule="exact" w:before="0"/>
                      <w:ind w:left="0" w:right="0" w:firstLine="0"/>
                      <w:jc w:val="left"/>
                      <w:rPr>
                        <w:rFonts w:ascii="Arial"/>
                        <w:sz w:val="12"/>
                      </w:rPr>
                    </w:pPr>
                    <w:r>
                      <w:rPr>
                        <w:rFonts w:ascii="Arial"/>
                        <w:color w:val="231F20"/>
                        <w:sz w:val="12"/>
                      </w:rPr>
                      <w:t>Mine</w:t>
                    </w:r>
                    <w:r>
                      <w:rPr>
                        <w:rFonts w:ascii="Arial"/>
                        <w:color w:val="231F20"/>
                        <w:spacing w:val="-6"/>
                        <w:sz w:val="12"/>
                      </w:rPr>
                      <w:t> </w:t>
                    </w:r>
                    <w:r>
                      <w:rPr>
                        <w:rFonts w:ascii="Arial"/>
                        <w:color w:val="231F20"/>
                        <w:sz w:val="12"/>
                      </w:rPr>
                      <w:t>Sequence</w:t>
                    </w:r>
                    <w:r>
                      <w:rPr>
                        <w:rFonts w:ascii="Arial"/>
                        <w:color w:val="231F20"/>
                        <w:spacing w:val="-11"/>
                        <w:sz w:val="12"/>
                      </w:rPr>
                      <w:t> </w:t>
                    </w:r>
                    <w:r>
                      <w:rPr>
                        <w:rFonts w:ascii="Arial"/>
                        <w:color w:val="231F20"/>
                        <w:sz w:val="12"/>
                      </w:rPr>
                      <w:t>Andesite/Rhyolite</w:t>
                    </w:r>
                    <w:r>
                      <w:rPr>
                        <w:rFonts w:ascii="Arial"/>
                        <w:color w:val="231F20"/>
                        <w:spacing w:val="-6"/>
                        <w:sz w:val="12"/>
                      </w:rPr>
                      <w:t> </w:t>
                    </w:r>
                    <w:r>
                      <w:rPr>
                        <w:rFonts w:ascii="Arial"/>
                        <w:color w:val="231F20"/>
                        <w:sz w:val="12"/>
                      </w:rPr>
                      <w:t>(Cycle</w:t>
                    </w:r>
                    <w:r>
                      <w:rPr>
                        <w:rFonts w:ascii="Arial"/>
                        <w:color w:val="231F20"/>
                        <w:spacing w:val="-6"/>
                        <w:sz w:val="12"/>
                      </w:rPr>
                      <w:t> </w:t>
                    </w:r>
                    <w:r>
                      <w:rPr>
                        <w:rFonts w:ascii="Arial"/>
                        <w:color w:val="231F20"/>
                        <w:sz w:val="12"/>
                      </w:rPr>
                      <w:t>III)</w:t>
                    </w:r>
                  </w:p>
                  <w:p>
                    <w:pPr>
                      <w:spacing w:line="240" w:lineRule="auto" w:before="7"/>
                      <w:rPr>
                        <w:sz w:val="12"/>
                      </w:rPr>
                    </w:pPr>
                  </w:p>
                  <w:p>
                    <w:pPr>
                      <w:spacing w:line="138" w:lineRule="exact" w:before="0"/>
                      <w:ind w:left="3" w:right="0" w:firstLine="0"/>
                      <w:jc w:val="left"/>
                      <w:rPr>
                        <w:rFonts w:ascii="Arial"/>
                        <w:sz w:val="12"/>
                      </w:rPr>
                    </w:pPr>
                    <w:r>
                      <w:rPr>
                        <w:rFonts w:ascii="Arial"/>
                        <w:color w:val="231F20"/>
                        <w:sz w:val="12"/>
                      </w:rPr>
                      <w:t>Cycle I + II Andesite/Rhyolite</w:t>
                    </w:r>
                  </w:p>
                </w:txbxContent>
              </v:textbox>
              <w10:wrap type="none"/>
            </v:shape>
            <v:shape style="position:absolute;left:4070;top:5115;width:1482;height:133" type="#_x0000_t202" filled="false" stroked="false">
              <v:textbox inset="0,0,0,0">
                <w:txbxContent>
                  <w:p>
                    <w:pPr>
                      <w:spacing w:line="133" w:lineRule="exact" w:before="0"/>
                      <w:ind w:left="0" w:right="0" w:firstLine="0"/>
                      <w:jc w:val="left"/>
                      <w:rPr>
                        <w:rFonts w:ascii="Arial"/>
                        <w:sz w:val="12"/>
                      </w:rPr>
                    </w:pPr>
                    <w:r>
                      <w:rPr>
                        <w:rFonts w:ascii="Arial"/>
                        <w:color w:val="231F20"/>
                        <w:sz w:val="12"/>
                      </w:rPr>
                      <w:t>VMS Deposits/Occurrences</w:t>
                    </w:r>
                  </w:p>
                </w:txbxContent>
              </v:textbox>
              <w10:wrap type="none"/>
            </v:shape>
            <v:shape style="position:absolute;left:1518;top:5123;width:1970;height:133" type="#_x0000_t202" filled="false" stroked="false">
              <v:textbox inset="0,0,0,0">
                <w:txbxContent>
                  <w:p>
                    <w:pPr>
                      <w:spacing w:line="133" w:lineRule="exact" w:before="0"/>
                      <w:ind w:left="0" w:right="0" w:firstLine="0"/>
                      <w:jc w:val="left"/>
                      <w:rPr>
                        <w:rFonts w:ascii="Arial"/>
                        <w:sz w:val="12"/>
                      </w:rPr>
                    </w:pPr>
                    <w:r>
                      <w:rPr>
                        <w:rFonts w:ascii="Arial"/>
                        <w:color w:val="231F20"/>
                        <w:sz w:val="12"/>
                      </w:rPr>
                      <w:t>Cycle</w:t>
                    </w:r>
                    <w:r>
                      <w:rPr>
                        <w:rFonts w:ascii="Arial"/>
                        <w:color w:val="231F20"/>
                        <w:spacing w:val="-6"/>
                        <w:sz w:val="12"/>
                      </w:rPr>
                      <w:t> </w:t>
                    </w:r>
                    <w:r>
                      <w:rPr>
                        <w:rFonts w:ascii="Arial"/>
                        <w:color w:val="231F20"/>
                        <w:sz w:val="12"/>
                      </w:rPr>
                      <w:t>IV</w:t>
                    </w:r>
                    <w:r>
                      <w:rPr>
                        <w:rFonts w:ascii="Arial"/>
                        <w:color w:val="231F20"/>
                        <w:spacing w:val="-11"/>
                        <w:sz w:val="12"/>
                      </w:rPr>
                      <w:t> </w:t>
                    </w:r>
                    <w:r>
                      <w:rPr>
                        <w:rFonts w:ascii="Arial"/>
                        <w:color w:val="231F20"/>
                        <w:sz w:val="12"/>
                      </w:rPr>
                      <w:t>Andesite/Rhyolite</w:t>
                    </w:r>
                    <w:r>
                      <w:rPr>
                        <w:rFonts w:ascii="Arial"/>
                        <w:color w:val="231F20"/>
                        <w:spacing w:val="-6"/>
                        <w:sz w:val="12"/>
                      </w:rPr>
                      <w:t> </w:t>
                    </w:r>
                    <w:r>
                      <w:rPr>
                        <w:rFonts w:ascii="Arial"/>
                        <w:color w:val="231F20"/>
                        <w:sz w:val="12"/>
                      </w:rPr>
                      <w:t>(Cycle</w:t>
                    </w:r>
                    <w:r>
                      <w:rPr>
                        <w:rFonts w:ascii="Arial"/>
                        <w:color w:val="231F20"/>
                        <w:spacing w:val="-6"/>
                        <w:sz w:val="12"/>
                      </w:rPr>
                      <w:t> </w:t>
                    </w:r>
                    <w:r>
                      <w:rPr>
                        <w:rFonts w:ascii="Arial"/>
                        <w:color w:val="231F20"/>
                        <w:sz w:val="12"/>
                      </w:rPr>
                      <w:t>IV)</w:t>
                    </w:r>
                  </w:p>
                </w:txbxContent>
              </v:textbox>
              <w10:wrap type="none"/>
            </v:shape>
            <v:shape style="position:absolute;left:5028;top:4877;width:479;height:132" type="#_x0000_t202" filled="false" stroked="false">
              <v:textbox inset="0,0,0,0">
                <w:txbxContent>
                  <w:p>
                    <w:pPr>
                      <w:spacing w:before="3"/>
                      <w:ind w:left="0" w:right="0" w:firstLine="0"/>
                      <w:jc w:val="left"/>
                      <w:rPr>
                        <w:rFonts w:ascii="Arial"/>
                        <w:sz w:val="11"/>
                      </w:rPr>
                    </w:pPr>
                    <w:r>
                      <w:rPr>
                        <w:rFonts w:ascii="Arial"/>
                        <w:color w:val="231F20"/>
                        <w:w w:val="105"/>
                        <w:sz w:val="11"/>
                      </w:rPr>
                      <w:t>5341800</w:t>
                    </w:r>
                  </w:p>
                </w:txbxContent>
              </v:textbox>
              <w10:wrap type="none"/>
            </v:shape>
            <v:shape style="position:absolute;left:2627;top:4322;width:578;height:214" type="#_x0000_t202" filled="false" stroked="false">
              <v:textbox inset="0,0,0,0">
                <w:txbxContent>
                  <w:p>
                    <w:pPr>
                      <w:spacing w:line="106" w:lineRule="exact" w:before="0"/>
                      <w:ind w:left="0" w:right="0" w:firstLine="0"/>
                      <w:jc w:val="left"/>
                      <w:rPr>
                        <w:rFonts w:ascii="Arial"/>
                        <w:b/>
                        <w:sz w:val="10"/>
                      </w:rPr>
                    </w:pPr>
                    <w:r>
                      <w:rPr>
                        <w:rFonts w:ascii="Arial"/>
                        <w:b/>
                        <w:color w:val="231F20"/>
                        <w:w w:val="105"/>
                        <w:sz w:val="10"/>
                      </w:rPr>
                      <w:t>Powell</w:t>
                    </w:r>
                  </w:p>
                  <w:p>
                    <w:pPr>
                      <w:spacing w:line="107" w:lineRule="exact" w:before="0"/>
                      <w:ind w:left="114" w:right="0" w:firstLine="0"/>
                      <w:jc w:val="left"/>
                      <w:rPr>
                        <w:rFonts w:ascii="Arial"/>
                        <w:b/>
                        <w:sz w:val="10"/>
                      </w:rPr>
                    </w:pPr>
                    <w:r>
                      <w:rPr>
                        <w:rFonts w:ascii="Arial"/>
                        <w:b/>
                        <w:color w:val="231F20"/>
                        <w:w w:val="105"/>
                        <w:sz w:val="10"/>
                      </w:rPr>
                      <w:t>Intrusion</w:t>
                    </w:r>
                  </w:p>
                </w:txbxContent>
              </v:textbox>
              <w10:wrap type="none"/>
            </v:shape>
            <v:shape style="position:absolute;left:4092;top:4219;width:102;height:127" type="#_x0000_t202" filled="false" stroked="false">
              <v:textbox inset="0,0,0,0">
                <w:txbxContent>
                  <w:p>
                    <w:pPr>
                      <w:spacing w:line="126" w:lineRule="exact" w:before="0"/>
                      <w:ind w:left="0" w:right="0" w:firstLine="0"/>
                      <w:jc w:val="left"/>
                      <w:rPr>
                        <w:rFonts w:ascii="Arial"/>
                        <w:b/>
                        <w:sz w:val="11"/>
                      </w:rPr>
                    </w:pPr>
                    <w:r>
                      <w:rPr>
                        <w:rFonts w:ascii="Arial"/>
                        <w:b/>
                        <w:color w:val="231F20"/>
                        <w:w w:val="102"/>
                        <w:sz w:val="11"/>
                      </w:rPr>
                      <w:t>A</w:t>
                    </w:r>
                  </w:p>
                </w:txbxContent>
              </v:textbox>
              <w10:wrap type="none"/>
            </v:shape>
            <v:shape style="position:absolute;left:2091;top:2991;width:684;height:347" type="#_x0000_t202" filled="false" stroked="false">
              <v:textbox inset="0,0,0,0">
                <w:txbxContent>
                  <w:p>
                    <w:pPr>
                      <w:spacing w:before="0"/>
                      <w:ind w:left="0" w:right="0" w:firstLine="0"/>
                      <w:jc w:val="left"/>
                      <w:rPr>
                        <w:rFonts w:ascii="Arial"/>
                        <w:b/>
                        <w:sz w:val="15"/>
                      </w:rPr>
                    </w:pPr>
                    <w:r>
                      <w:rPr>
                        <w:rFonts w:ascii="Arial"/>
                        <w:b/>
                        <w:color w:val="231F20"/>
                        <w:w w:val="105"/>
                        <w:sz w:val="15"/>
                      </w:rPr>
                      <w:t>Flavrian </w:t>
                    </w:r>
                    <w:r>
                      <w:rPr>
                        <w:rFonts w:ascii="Arial"/>
                        <w:b/>
                        <w:color w:val="231F20"/>
                        <w:sz w:val="15"/>
                      </w:rPr>
                      <w:t>Intrusion</w:t>
                    </w:r>
                  </w:p>
                </w:txbxContent>
              </v:textbox>
              <w10:wrap type="none"/>
            </v:shape>
            <v:shape style="position:absolute;left:3688;top:2555;width:796;height:289" type="#_x0000_t202" filled="false" stroked="false">
              <v:textbox inset="0,0,0,0">
                <w:txbxContent>
                  <w:p>
                    <w:pPr>
                      <w:spacing w:line="232" w:lineRule="auto" w:before="0"/>
                      <w:ind w:left="0" w:right="0" w:firstLine="0"/>
                      <w:jc w:val="left"/>
                      <w:rPr>
                        <w:rFonts w:ascii="Arial"/>
                        <w:b/>
                        <w:sz w:val="13"/>
                      </w:rPr>
                    </w:pPr>
                    <w:r>
                      <w:rPr>
                        <w:rFonts w:ascii="Arial"/>
                        <w:b/>
                        <w:color w:val="231F20"/>
                        <w:sz w:val="13"/>
                      </w:rPr>
                      <w:t>Lac Dufault </w:t>
                    </w:r>
                    <w:r>
                      <w:rPr>
                        <w:rFonts w:ascii="Arial"/>
                        <w:b/>
                        <w:color w:val="231F20"/>
                        <w:w w:val="95"/>
                        <w:sz w:val="13"/>
                      </w:rPr>
                      <w:t>Granodiorite</w:t>
                    </w:r>
                  </w:p>
                </w:txbxContent>
              </v:textbox>
              <w10:wrap type="none"/>
            </v:shape>
            <v:shape style="position:absolute;left:4994;top:1299;width:479;height:394" type="#_x0000_t202" filled="false" stroked="false">
              <v:textbox inset="0,0,0,0">
                <w:txbxContent>
                  <w:p>
                    <w:pPr>
                      <w:spacing w:before="3"/>
                      <w:ind w:left="0" w:right="0" w:firstLine="0"/>
                      <w:jc w:val="left"/>
                      <w:rPr>
                        <w:rFonts w:ascii="Arial"/>
                        <w:sz w:val="11"/>
                      </w:rPr>
                    </w:pPr>
                    <w:r>
                      <w:rPr>
                        <w:rFonts w:ascii="Arial"/>
                        <w:color w:val="231F20"/>
                        <w:w w:val="105"/>
                        <w:sz w:val="11"/>
                      </w:rPr>
                      <w:t>5363060</w:t>
                    </w:r>
                  </w:p>
                  <w:p>
                    <w:pPr>
                      <w:spacing w:line="240" w:lineRule="auto" w:before="11"/>
                      <w:rPr>
                        <w:sz w:val="11"/>
                      </w:rPr>
                    </w:pPr>
                  </w:p>
                  <w:p>
                    <w:pPr>
                      <w:spacing w:before="0"/>
                      <w:ind w:left="88" w:right="0" w:firstLine="0"/>
                      <w:jc w:val="left"/>
                      <w:rPr>
                        <w:rFonts w:ascii="Arial"/>
                        <w:b/>
                        <w:sz w:val="11"/>
                      </w:rPr>
                    </w:pPr>
                    <w:r>
                      <w:rPr>
                        <w:rFonts w:ascii="Arial"/>
                        <w:b/>
                        <w:color w:val="231F20"/>
                        <w:w w:val="99"/>
                        <w:sz w:val="11"/>
                      </w:rPr>
                      <w:t>N</w:t>
                    </w:r>
                  </w:p>
                </w:txbxContent>
              </v:textbox>
              <w10:wrap type="none"/>
            </v:shape>
            <v:shape style="position:absolute;left:3226;top:1364;width:102;height:127" type="#_x0000_t202" filled="false" stroked="false">
              <v:textbox inset="0,0,0,0">
                <w:txbxContent>
                  <w:p>
                    <w:pPr>
                      <w:spacing w:line="126" w:lineRule="exact" w:before="0"/>
                      <w:ind w:left="0" w:right="0" w:firstLine="0"/>
                      <w:jc w:val="left"/>
                      <w:rPr>
                        <w:rFonts w:ascii="Arial"/>
                        <w:b/>
                        <w:sz w:val="11"/>
                      </w:rPr>
                    </w:pPr>
                    <w:r>
                      <w:rPr>
                        <w:rFonts w:ascii="Arial"/>
                        <w:b/>
                        <w:color w:val="231F20"/>
                        <w:w w:val="102"/>
                        <w:sz w:val="11"/>
                      </w:rPr>
                      <w:t>B</w:t>
                    </w:r>
                  </w:p>
                </w:txbxContent>
              </v:textbox>
              <w10:wrap type="none"/>
            </v:shape>
            <w10:wrap type="none"/>
          </v:group>
        </w:pict>
      </w:r>
      <w:r>
        <w:rPr/>
        <w:pict>
          <v:shape style="position:absolute;margin-left:59.127144pt;margin-top:64.950615pt;width:8.6pt;height:21.7pt;mso-position-horizontal-relative:page;mso-position-vertical-relative:page;z-index:8128" type="#_x0000_t202" filled="false" stroked="false">
            <v:textbox inset="0,0,0,0" style="layout-flow:vertical;mso-layout-flow-alt:bottom-to-top">
              <w:txbxContent>
                <w:p>
                  <w:pPr>
                    <w:spacing w:before="23"/>
                    <w:ind w:left="20" w:right="0" w:firstLine="0"/>
                    <w:jc w:val="left"/>
                    <w:rPr>
                      <w:rFonts w:ascii="Arial"/>
                      <w:sz w:val="11"/>
                    </w:rPr>
                  </w:pPr>
                  <w:r>
                    <w:rPr>
                      <w:rFonts w:ascii="Arial"/>
                      <w:color w:val="231F20"/>
                      <w:w w:val="105"/>
                      <w:sz w:val="11"/>
                    </w:rPr>
                    <w:t>629780</w:t>
                  </w:r>
                </w:p>
              </w:txbxContent>
            </v:textbox>
            <w10:wrap type="none"/>
          </v:shape>
        </w:pict>
      </w:r>
      <w:r>
        <w:rPr/>
        <w:pict>
          <v:shape style="position:absolute;margin-left:267.771332pt;margin-top:70.976509pt;width:8.6pt;height:21.7pt;mso-position-horizontal-relative:page;mso-position-vertical-relative:page;z-index:8152" type="#_x0000_t202" filled="false" stroked="false">
            <v:textbox inset="0,0,0,0" style="layout-flow:vertical;mso-layout-flow-alt:bottom-to-top">
              <w:txbxContent>
                <w:p>
                  <w:pPr>
                    <w:spacing w:before="23"/>
                    <w:ind w:left="20" w:right="0" w:firstLine="0"/>
                    <w:jc w:val="left"/>
                    <w:rPr>
                      <w:rFonts w:ascii="Arial"/>
                      <w:sz w:val="11"/>
                    </w:rPr>
                  </w:pPr>
                  <w:r>
                    <w:rPr>
                      <w:rFonts w:ascii="Arial"/>
                      <w:color w:val="231F20"/>
                      <w:w w:val="105"/>
                      <w:sz w:val="11"/>
                    </w:rPr>
                    <w:t>654640</w:t>
                  </w:r>
                </w:p>
              </w:txbxContent>
            </v:textbox>
            <w10:wrap type="none"/>
          </v:shape>
        </w:pict>
      </w:r>
      <w:r>
        <w:rPr/>
        <w:pict>
          <v:shape style="position:absolute;margin-left:551.075012pt;margin-top:239.869797pt;width:7.65pt;height:23.5pt;mso-position-horizontal-relative:page;mso-position-vertical-relative:page;z-index:-175120" type="#_x0000_t202" filled="false" stroked="false">
            <v:textbox inset="0,0,0,0" style="layout-flow:vertical;mso-layout-flow-alt:bottom-to-top">
              <w:txbxContent>
                <w:p>
                  <w:pPr>
                    <w:spacing w:before="17"/>
                    <w:ind w:left="20" w:right="0" w:firstLine="0"/>
                    <w:jc w:val="left"/>
                    <w:rPr>
                      <w:rFonts w:ascii="Arial" w:hAnsi="Arial"/>
                      <w:sz w:val="10"/>
                    </w:rPr>
                  </w:pPr>
                  <w:r>
                    <w:rPr>
                      <w:rFonts w:ascii="Arial" w:hAnsi="Arial"/>
                      <w:color w:val="231F20"/>
                      <w:sz w:val="10"/>
                    </w:rPr>
                    <w:t>99°52'30"</w:t>
                  </w:r>
                </w:p>
              </w:txbxContent>
            </v:textbox>
            <w10:wrap type="none"/>
          </v:shape>
        </w:pict>
      </w:r>
      <w:r>
        <w:rPr/>
        <w:pict>
          <v:shape style="position:absolute;margin-left:411.741345pt;margin-top:271.496631pt;width:16.2pt;height:5.05pt;mso-position-horizontal-relative:page;mso-position-vertical-relative:page;z-index:-175072;rotation:312" type="#_x0000_t136" fillcolor="#231f20" stroked="f">
            <o:extrusion v:ext="view" autorotationcenter="t"/>
            <v:textpath style="font-family:&amp;quot;Arial&amp;quot;;font-size:5pt;v-text-kern:t;mso-text-shadow:auto" string="Synclin"/>
            <w10:wrap type="none"/>
          </v:shape>
        </w:pict>
      </w:r>
      <w:r>
        <w:rPr/>
        <w:pict>
          <v:shape style="position:absolute;margin-left:411.991577pt;margin-top:273.510376pt;width:26.8pt;height:5.05pt;mso-position-horizontal-relative:page;mso-position-vertical-relative:page;z-index:-175048;rotation:312" type="#_x0000_t136" fillcolor="#231f20" stroked="f">
            <o:extrusion v:ext="view" autorotationcenter="t"/>
            <v:textpath style="font-family:&amp;quot;Arial&amp;quot;;font-size:5pt;v-text-kern:t;mso-text-shadow:auto" string="Threehouse"/>
            <w10:wrap type="none"/>
          </v:shape>
        </w:pict>
      </w:r>
      <w:r>
        <w:rPr/>
        <w:pict>
          <v:shape style="position:absolute;margin-left:120.192375pt;margin-top:205.832916pt;width:41.5pt;height:5.2pt;mso-position-horizontal-relative:page;mso-position-vertical-relative:page;z-index:8320;rotation:331" type="#_x0000_t136" fillcolor="#231f20" stroked="f">
            <o:extrusion v:ext="view" autorotationcenter="t"/>
            <v:textpath style="font-family:&amp;quot;Arial&amp;quot;;font-size:5pt;v-text-kern:t;mso-text-shadow:auto" string="Beauchastel Fault"/>
            <w10:wrap type="none"/>
          </v:shape>
        </w:pict>
      </w:r>
      <w:r>
        <w:rPr/>
        <w:pict>
          <v:shape style="position:absolute;margin-left:115.359795pt;margin-top:83.835709pt;width:43.7pt;height:5.2pt;mso-position-horizontal-relative:page;mso-position-vertical-relative:page;z-index:8344;rotation:335" type="#_x0000_t136" fillcolor="#231f20" stroked="f">
            <o:extrusion v:ext="view" autorotationcenter="t"/>
            <v:textpath style="font-family:&amp;quot;Arial&amp;quot;;font-size:5pt;v-text-kern:t;mso-text-shadow:auto" string="Hunter Creek Fault"/>
            <w10:wrap type="none"/>
          </v:shape>
        </w:pict>
      </w:r>
      <w:r>
        <w:rPr/>
        <w:pict>
          <v:shape style="position:absolute;margin-left:122.162682pt;margin-top:232.410538pt;width:42.3pt;height:5.2pt;mso-position-horizontal-relative:page;mso-position-vertical-relative:page;z-index:8368;rotation:346" type="#_x0000_t136" fillcolor="#231f20" stroked="f">
            <o:extrusion v:ext="view" autorotationcenter="t"/>
            <v:textpath style="font-family:&amp;quot;Arial&amp;quot;;font-size:5pt;v-text-kern:t;mso-text-shadow:auto" string="Horne Creek Fault"/>
            <w10:wrap type="none"/>
          </v:shape>
        </w:pict>
      </w:r>
    </w:p>
    <w:p>
      <w:pPr>
        <w:spacing w:after="0"/>
        <w:rPr>
          <w:sz w:val="2"/>
          <w:szCs w:val="2"/>
        </w:rPr>
        <w:sectPr>
          <w:type w:val="continuous"/>
          <w:pgSz w:w="12240" w:h="15840"/>
          <w:pgMar w:top="920" w:bottom="280" w:left="0" w:right="0"/>
        </w:sectPr>
      </w:pPr>
    </w:p>
    <w:p>
      <w:pPr>
        <w:pStyle w:val="BodyText"/>
        <w:spacing w:before="6"/>
        <w:rPr>
          <w:sz w:val="18"/>
        </w:rPr>
      </w:pPr>
    </w:p>
    <w:p>
      <w:pPr>
        <w:pStyle w:val="BodyText"/>
        <w:ind w:left="1080" w:right="-43"/>
      </w:pPr>
      <w:r>
        <w:rPr/>
        <w:pict>
          <v:group style="width:242.7pt;height:160.550pt;mso-position-horizontal-relative:char;mso-position-vertical-relative:line" coordorigin="0,0" coordsize="4854,3211">
            <v:shape style="position:absolute;left:0;top:0;width:4854;height:3211" type="#_x0000_t75" stroked="false">
              <v:imagedata r:id="rId221" o:title=""/>
            </v:shape>
            <v:shape style="position:absolute;left:4652;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A</w:t>
                    </w:r>
                  </w:p>
                </w:txbxContent>
              </v:textbox>
              <w10:wrap type="none"/>
            </v:shape>
          </v:group>
        </w:pict>
      </w:r>
      <w:r>
        <w:rPr/>
      </w:r>
    </w:p>
    <w:p>
      <w:pPr>
        <w:pStyle w:val="BodyText"/>
        <w:spacing w:before="2"/>
        <w:rPr>
          <w:sz w:val="9"/>
        </w:rPr>
      </w:pPr>
      <w:r>
        <w:rPr/>
        <w:pict>
          <v:group style="position:absolute;margin-left:54pt;margin-top:7.250018pt;width:241.95pt;height:160.550pt;mso-position-horizontal-relative:page;mso-position-vertical-relative:paragraph;z-index:8464;mso-wrap-distance-left:0;mso-wrap-distance-right:0" coordorigin="1080,145" coordsize="4839,3211">
            <v:shape style="position:absolute;left:1080;top:145;width:4839;height:3211" type="#_x0000_t75" stroked="false">
              <v:imagedata r:id="rId222" o:title=""/>
            </v:shape>
            <v:shape style="position:absolute;left:5697;top:173;width:150;height:250" type="#_x0000_t202" filled="false" stroked="false">
              <v:textbox inset="0,0,0,0">
                <w:txbxContent>
                  <w:p>
                    <w:pPr>
                      <w:spacing w:before="13"/>
                      <w:ind w:left="0" w:right="0" w:firstLine="0"/>
                      <w:jc w:val="left"/>
                      <w:rPr>
                        <w:rFonts w:ascii="Arial"/>
                        <w:b/>
                        <w:sz w:val="18"/>
                      </w:rPr>
                    </w:pPr>
                    <w:r>
                      <w:rPr>
                        <w:rFonts w:ascii="Arial"/>
                        <w:b/>
                        <w:color w:val="FFFFFF"/>
                        <w:sz w:val="18"/>
                      </w:rPr>
                      <w:t>B</w:t>
                    </w:r>
                  </w:p>
                </w:txbxContent>
              </v:textbox>
              <w10:wrap type="none"/>
            </v:shape>
            <w10:wrap type="topAndBottom"/>
          </v:group>
        </w:pict>
      </w:r>
    </w:p>
    <w:p>
      <w:pPr>
        <w:pStyle w:val="BodyText"/>
        <w:spacing w:before="5"/>
        <w:rPr>
          <w:sz w:val="7"/>
        </w:rPr>
      </w:pPr>
    </w:p>
    <w:p>
      <w:pPr>
        <w:pStyle w:val="BodyText"/>
        <w:ind w:left="1080" w:right="-52"/>
      </w:pPr>
      <w:r>
        <w:rPr/>
        <w:pict>
          <v:group style="width:243.1pt;height:160.1pt;mso-position-horizontal-relative:char;mso-position-vertical-relative:line" coordorigin="0,0" coordsize="4862,3202">
            <v:shape style="position:absolute;left:0;top:0;width:4862;height:3202" type="#_x0000_t75" stroked="false">
              <v:imagedata r:id="rId223" o:title=""/>
            </v:shape>
            <v:shape style="position:absolute;left:4652;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C</w:t>
                    </w:r>
                  </w:p>
                </w:txbxContent>
              </v:textbox>
              <w10:wrap type="none"/>
            </v:shape>
          </v:group>
        </w:pict>
      </w:r>
      <w:r>
        <w:rPr/>
      </w:r>
    </w:p>
    <w:p>
      <w:pPr>
        <w:spacing w:line="230" w:lineRule="auto" w:before="125"/>
        <w:ind w:left="1099" w:right="2" w:firstLine="0"/>
        <w:jc w:val="both"/>
        <w:rPr>
          <w:sz w:val="16"/>
        </w:rPr>
      </w:pPr>
      <w:r>
        <w:rPr/>
        <w:pict>
          <v:rect style="position:absolute;margin-left:54pt;margin-top:6.872806pt;width:243.756pt;height:79.92pt;mso-position-horizontal-relative:page;mso-position-vertical-relative:paragraph;z-index:-174808" filled="true" fillcolor="#ffffff" stroked="false">
            <v:fill type="solid"/>
            <w10:wrap type="none"/>
          </v:rect>
        </w:pict>
      </w:r>
      <w:r>
        <w:rPr>
          <w:b/>
          <w:color w:val="231F20"/>
          <w:sz w:val="16"/>
        </w:rPr>
        <w:t>F</w:t>
      </w:r>
      <w:r>
        <w:rPr>
          <w:b/>
          <w:color w:val="231F20"/>
          <w:sz w:val="16"/>
          <w:vertAlign w:val="subscript"/>
        </w:rPr>
        <w:t>IGURE</w:t>
      </w:r>
      <w:r>
        <w:rPr>
          <w:b/>
          <w:color w:val="231F20"/>
          <w:sz w:val="16"/>
          <w:vertAlign w:val="baseline"/>
        </w:rPr>
        <w:t> 18. (A) </w:t>
      </w:r>
      <w:r>
        <w:rPr>
          <w:color w:val="231F20"/>
          <w:sz w:val="16"/>
          <w:vertAlign w:val="baseline"/>
        </w:rPr>
        <w:t>Mine contact tuff exhalite horizon (between white lines) that overlies the silicified andesites of the </w:t>
      </w:r>
      <w:r>
        <w:rPr>
          <w:color w:val="231F20"/>
          <w:spacing w:val="-3"/>
          <w:sz w:val="16"/>
          <w:vertAlign w:val="baseline"/>
        </w:rPr>
        <w:t>Waite </w:t>
      </w:r>
      <w:r>
        <w:rPr>
          <w:color w:val="231F20"/>
          <w:sz w:val="16"/>
          <w:vertAlign w:val="baseline"/>
        </w:rPr>
        <w:t>Formation, Noranda, Quebec. </w:t>
      </w:r>
      <w:r>
        <w:rPr>
          <w:b/>
          <w:color w:val="231F20"/>
          <w:sz w:val="16"/>
          <w:vertAlign w:val="baseline"/>
        </w:rPr>
        <w:t>(B) </w:t>
      </w:r>
      <w:r>
        <w:rPr>
          <w:color w:val="231F20"/>
          <w:sz w:val="16"/>
          <w:vertAlign w:val="baseline"/>
        </w:rPr>
        <w:t>Silicified basaltic andesite of the Upper Amulet Formation., Noranda, Quebec, as an example of pervasive silica precipitation that occurred in mafic flows directly underlying tuffaceous exhalite units in many Precambrian VMS camps. </w:t>
      </w:r>
      <w:r>
        <w:rPr>
          <w:b/>
          <w:color w:val="231F20"/>
          <w:sz w:val="16"/>
          <w:vertAlign w:val="baseline"/>
        </w:rPr>
        <w:t>(C) </w:t>
      </w:r>
      <w:r>
        <w:rPr>
          <w:color w:val="231F20"/>
          <w:sz w:val="16"/>
          <w:vertAlign w:val="baseline"/>
        </w:rPr>
        <w:t>Banded magnetite-chert Fe-formation overlying</w:t>
      </w:r>
      <w:r>
        <w:rPr>
          <w:color w:val="231F20"/>
          <w:spacing w:val="-4"/>
          <w:sz w:val="16"/>
          <w:vertAlign w:val="baseline"/>
        </w:rPr>
        <w:t> </w:t>
      </w:r>
      <w:r>
        <w:rPr>
          <w:color w:val="231F20"/>
          <w:sz w:val="16"/>
          <w:vertAlign w:val="baseline"/>
        </w:rPr>
        <w:t>the</w:t>
      </w:r>
      <w:r>
        <w:rPr>
          <w:color w:val="231F20"/>
          <w:spacing w:val="-12"/>
          <w:sz w:val="16"/>
          <w:vertAlign w:val="baseline"/>
        </w:rPr>
        <w:t> </w:t>
      </w:r>
      <w:r>
        <w:rPr>
          <w:color w:val="231F20"/>
          <w:sz w:val="16"/>
          <w:vertAlign w:val="baseline"/>
        </w:rPr>
        <w:t>Austin</w:t>
      </w:r>
      <w:r>
        <w:rPr>
          <w:color w:val="231F20"/>
          <w:spacing w:val="-5"/>
          <w:sz w:val="16"/>
          <w:vertAlign w:val="baseline"/>
        </w:rPr>
        <w:t> </w:t>
      </w:r>
      <w:r>
        <w:rPr>
          <w:color w:val="231F20"/>
          <w:sz w:val="16"/>
          <w:vertAlign w:val="baseline"/>
        </w:rPr>
        <w:t>Brook</w:t>
      </w:r>
      <w:r>
        <w:rPr>
          <w:color w:val="231F20"/>
          <w:spacing w:val="-4"/>
          <w:sz w:val="16"/>
          <w:vertAlign w:val="baseline"/>
        </w:rPr>
        <w:t> </w:t>
      </w:r>
      <w:r>
        <w:rPr>
          <w:color w:val="231F20"/>
          <w:sz w:val="16"/>
          <w:vertAlign w:val="baseline"/>
        </w:rPr>
        <w:t>massive</w:t>
      </w:r>
      <w:r>
        <w:rPr>
          <w:color w:val="231F20"/>
          <w:spacing w:val="-4"/>
          <w:sz w:val="16"/>
          <w:vertAlign w:val="baseline"/>
        </w:rPr>
        <w:t> </w:t>
      </w:r>
      <w:r>
        <w:rPr>
          <w:color w:val="231F20"/>
          <w:sz w:val="16"/>
          <w:vertAlign w:val="baseline"/>
        </w:rPr>
        <w:t>sulphide</w:t>
      </w:r>
      <w:r>
        <w:rPr>
          <w:color w:val="231F20"/>
          <w:spacing w:val="-5"/>
          <w:sz w:val="16"/>
          <w:vertAlign w:val="baseline"/>
        </w:rPr>
        <w:t> </w:t>
      </w:r>
      <w:r>
        <w:rPr>
          <w:color w:val="231F20"/>
          <w:sz w:val="16"/>
          <w:vertAlign w:val="baseline"/>
        </w:rPr>
        <w:t>deposit,</w:t>
      </w:r>
      <w:r>
        <w:rPr>
          <w:color w:val="231F20"/>
          <w:spacing w:val="-4"/>
          <w:sz w:val="16"/>
          <w:vertAlign w:val="baseline"/>
        </w:rPr>
        <w:t> </w:t>
      </w:r>
      <w:r>
        <w:rPr>
          <w:color w:val="231F20"/>
          <w:sz w:val="16"/>
          <w:vertAlign w:val="baseline"/>
        </w:rPr>
        <w:t>Bathurst</w:t>
      </w:r>
      <w:r>
        <w:rPr>
          <w:color w:val="231F20"/>
          <w:spacing w:val="-4"/>
          <w:sz w:val="16"/>
          <w:vertAlign w:val="baseline"/>
        </w:rPr>
        <w:t> </w:t>
      </w:r>
      <w:r>
        <w:rPr>
          <w:color w:val="231F20"/>
          <w:sz w:val="16"/>
          <w:vertAlign w:val="baseline"/>
        </w:rPr>
        <w:t>camp</w:t>
      </w:r>
      <w:r>
        <w:rPr>
          <w:color w:val="231F20"/>
          <w:spacing w:val="-4"/>
          <w:sz w:val="16"/>
          <w:vertAlign w:val="baseline"/>
        </w:rPr>
        <w:t> </w:t>
      </w:r>
      <w:r>
        <w:rPr>
          <w:color w:val="231F20"/>
          <w:sz w:val="16"/>
          <w:vertAlign w:val="baseline"/>
        </w:rPr>
        <w:t>(photo by J.M.</w:t>
      </w:r>
      <w:r>
        <w:rPr>
          <w:color w:val="231F20"/>
          <w:spacing w:val="5"/>
          <w:sz w:val="16"/>
          <w:vertAlign w:val="baseline"/>
        </w:rPr>
        <w:t> </w:t>
      </w:r>
      <w:r>
        <w:rPr>
          <w:color w:val="231F20"/>
          <w:sz w:val="16"/>
          <w:vertAlign w:val="baseline"/>
        </w:rPr>
        <w:t>Peter).</w:t>
      </w:r>
    </w:p>
    <w:p>
      <w:pPr>
        <w:pStyle w:val="BodyText"/>
        <w:spacing w:line="230" w:lineRule="auto" w:before="178"/>
        <w:ind w:left="1100"/>
        <w:jc w:val="both"/>
      </w:pPr>
      <w:r>
        <w:rPr>
          <w:color w:val="231F20"/>
        </w:rPr>
        <w:t>deposits that have had a protracted thermal history (e.g. Hannington et al., 1998; Petersen et al., 2000).</w:t>
      </w:r>
    </w:p>
    <w:p>
      <w:pPr>
        <w:pStyle w:val="BodyText"/>
        <w:spacing w:line="230" w:lineRule="auto" w:before="34"/>
        <w:ind w:left="1100" w:firstLine="216"/>
        <w:jc w:val="both"/>
      </w:pPr>
      <w:r>
        <w:rPr>
          <w:color w:val="231F20"/>
        </w:rPr>
        <w:t>Although many VMS deposits have a clastic component, this is usually subordinate to the massive sulphide facies. In many cases, such as the hanging-wall orebody at Buttle Lake, British Columbia (Barrett and Sherlock, 1996a), Kidd Creek, Ontario (Hannington et al., 1999b), and Louvicourt, Quebec, these subordinate clastic facies contain a mixture</w:t>
      </w:r>
      <w:r>
        <w:rPr>
          <w:color w:val="231F20"/>
          <w:spacing w:val="-31"/>
        </w:rPr>
        <w:t> </w:t>
      </w:r>
      <w:r>
        <w:rPr>
          <w:color w:val="231F20"/>
        </w:rPr>
        <w:t>of</w:t>
      </w:r>
    </w:p>
    <w:p>
      <w:pPr>
        <w:pStyle w:val="BodyText"/>
        <w:spacing w:line="230" w:lineRule="auto" w:before="193"/>
        <w:ind w:left="319" w:right="1093"/>
        <w:jc w:val="both"/>
      </w:pPr>
      <w:r>
        <w:rPr/>
        <w:br w:type="column"/>
      </w:r>
      <w:r>
        <w:rPr>
          <w:color w:val="231F20"/>
        </w:rPr>
        <w:t>sulphide and host-rock fragments (Fig. 19D). Interbedded sulphide and silicate-rich layers form from erosion and peri- odic collapse of a sulphide mound to form sand- to breccia- sized deposits. Examples where these clastic sulphide com- ponents are a dominant part of the deposit include Eskay Creek and Tulsequah Chief, British Columbia (Barrett and Sherlock, 1996a; Sebert and Barrett, 1996), and Buchans, Newfoundland </w:t>
      </w:r>
      <w:r>
        <w:rPr>
          <w:color w:val="231F20"/>
          <w:spacing w:val="-3"/>
        </w:rPr>
        <w:t>(Walker </w:t>
      </w:r>
      <w:r>
        <w:rPr>
          <w:color w:val="231F20"/>
        </w:rPr>
        <w:t>and Barbour, 1981). In other cases, finely bedded ore lenses may result from high-temperature </w:t>
      </w:r>
      <w:r>
        <w:rPr>
          <w:color w:val="231F20"/>
          <w:spacing w:val="1"/>
        </w:rPr>
        <w:t>plume </w:t>
      </w:r>
      <w:r>
        <w:rPr>
          <w:color w:val="231F20"/>
        </w:rPr>
        <w:t>fallout of sulphide </w:t>
      </w:r>
      <w:r>
        <w:rPr>
          <w:color w:val="231F20"/>
          <w:spacing w:val="1"/>
        </w:rPr>
        <w:t>particles intermixing </w:t>
      </w:r>
      <w:r>
        <w:rPr>
          <w:color w:val="231F20"/>
        </w:rPr>
        <w:t>with hydrothermal silica, talc, and Mg-smectites, plus ambient background pelagic sedimentation (Peter, 2003, and refer- ences</w:t>
      </w:r>
      <w:r>
        <w:rPr>
          <w:color w:val="231F20"/>
          <w:spacing w:val="-8"/>
        </w:rPr>
        <w:t> </w:t>
      </w:r>
      <w:r>
        <w:rPr>
          <w:color w:val="231F20"/>
        </w:rPr>
        <w:t>therein).</w:t>
      </w:r>
      <w:r>
        <w:rPr>
          <w:color w:val="231F20"/>
          <w:spacing w:val="-8"/>
        </w:rPr>
        <w:t> </w:t>
      </w:r>
      <w:r>
        <w:rPr>
          <w:color w:val="231F20"/>
        </w:rPr>
        <w:t>Similar</w:t>
      </w:r>
      <w:r>
        <w:rPr>
          <w:color w:val="231F20"/>
          <w:spacing w:val="-8"/>
        </w:rPr>
        <w:t> </w:t>
      </w:r>
      <w:r>
        <w:rPr>
          <w:color w:val="231F20"/>
        </w:rPr>
        <w:t>finely</w:t>
      </w:r>
      <w:r>
        <w:rPr>
          <w:color w:val="231F20"/>
          <w:spacing w:val="-8"/>
        </w:rPr>
        <w:t> </w:t>
      </w:r>
      <w:r>
        <w:rPr>
          <w:color w:val="231F20"/>
        </w:rPr>
        <w:t>banded</w:t>
      </w:r>
      <w:r>
        <w:rPr>
          <w:color w:val="231F20"/>
          <w:spacing w:val="-8"/>
        </w:rPr>
        <w:t> </w:t>
      </w:r>
      <w:r>
        <w:rPr>
          <w:color w:val="231F20"/>
        </w:rPr>
        <w:t>ores</w:t>
      </w:r>
      <w:r>
        <w:rPr>
          <w:color w:val="231F20"/>
          <w:spacing w:val="-8"/>
        </w:rPr>
        <w:t> </w:t>
      </w:r>
      <w:r>
        <w:rPr>
          <w:color w:val="231F20"/>
        </w:rPr>
        <w:t>can</w:t>
      </w:r>
      <w:r>
        <w:rPr>
          <w:color w:val="231F20"/>
          <w:spacing w:val="-8"/>
        </w:rPr>
        <w:t> </w:t>
      </w:r>
      <w:r>
        <w:rPr>
          <w:color w:val="231F20"/>
        </w:rPr>
        <w:t>also</w:t>
      </w:r>
      <w:r>
        <w:rPr>
          <w:color w:val="231F20"/>
          <w:spacing w:val="-8"/>
        </w:rPr>
        <w:t> </w:t>
      </w:r>
      <w:r>
        <w:rPr>
          <w:color w:val="231F20"/>
        </w:rPr>
        <w:t>be</w:t>
      </w:r>
      <w:r>
        <w:rPr>
          <w:color w:val="231F20"/>
          <w:spacing w:val="-8"/>
        </w:rPr>
        <w:t> </w:t>
      </w:r>
      <w:r>
        <w:rPr>
          <w:color w:val="231F20"/>
        </w:rPr>
        <w:t>a</w:t>
      </w:r>
      <w:r>
        <w:rPr>
          <w:color w:val="231F20"/>
          <w:spacing w:val="-8"/>
        </w:rPr>
        <w:t> </w:t>
      </w:r>
      <w:r>
        <w:rPr>
          <w:color w:val="231F20"/>
        </w:rPr>
        <w:t>prod- uct of dynamic recrystallization of sulphides during regional deformation events. VMS deposits readily accommodate strain during regional deformation because of the ductile nature of massive sulphide bodies, and can therefore display much higher degrees of recrystallization and remobilization than the surrounding volcanic and sedimentary</w:t>
      </w:r>
      <w:r>
        <w:rPr>
          <w:color w:val="231F20"/>
          <w:spacing w:val="17"/>
        </w:rPr>
        <w:t> </w:t>
      </w:r>
      <w:r>
        <w:rPr>
          <w:color w:val="231F20"/>
        </w:rPr>
        <w:t>strata.</w:t>
      </w:r>
    </w:p>
    <w:p>
      <w:pPr>
        <w:pStyle w:val="BodyText"/>
        <w:spacing w:line="230" w:lineRule="auto" w:before="21"/>
        <w:ind w:left="319" w:right="1096" w:firstLine="216"/>
        <w:jc w:val="both"/>
      </w:pPr>
      <w:r>
        <w:rPr>
          <w:color w:val="231F20"/>
        </w:rPr>
        <w:t>In some cases, VMS deposits do not form on the seafloor but develop as a result of shallow subseafloor replacement. This occurs when hydrothermal fluids infill primary pore space in either extrusive, autoclastic, volcaniclastic, or epi- clastic successions below an impermeable cap. At the Ansil deposit in the Archean Noranda VMS camp, a succession of laminated felsic ash flows/turbidites infilled a small fault- bounded rift on the felsic flow complex. Hydrothermal fluid seepage up the rift margins resulted in unit-by-unit replace- ment of the laminated volcaniclastic layers by pyrite, spha- lerite, and silica (Fig. 21A). This sulphide-impregnated unit was in turn replaced by massive pyrrhotite-chalcopyrite dur- ing a second stage of subseafloor replacement (Galley et al., 1996) (Fig. 21B). Some exceptionally large massive sul- phide deposits have formed within volcanic depressions infilled with autoclastic and heterolithologic debris flow and talus deposits. These include the Horne No. 5 lens (Kerr and Gibson, 1993) Kidd Creek (Hannington et al., 1999b), and several orebodies at Buttle Lake (Barrett and Sherlock, 1996a) (Fig. 21C).</w:t>
      </w:r>
    </w:p>
    <w:p>
      <w:pPr>
        <w:pStyle w:val="BodyText"/>
        <w:spacing w:line="230" w:lineRule="auto" w:before="20"/>
        <w:ind w:left="319" w:right="1095" w:firstLine="216"/>
        <w:jc w:val="both"/>
      </w:pPr>
      <w:r>
        <w:rPr>
          <w:color w:val="231F20"/>
        </w:rPr>
        <w:t>Most Canadian VMS deposits are characterized by dis- cordant stockwork vein systems that commonly underlie the massive sulphide lenses, but may also be present in</w:t>
      </w:r>
      <w:r>
        <w:rPr>
          <w:color w:val="231F20"/>
          <w:spacing w:val="30"/>
        </w:rPr>
        <w:t> </w:t>
      </w:r>
      <w:r>
        <w:rPr>
          <w:color w:val="231F20"/>
        </w:rPr>
        <w:t>the immediate stratigraphic hanging-wall strata (Fig. 21D). These stockwork vein systems occur at the centre of more extensive, discordant alteration zones. They form by</w:t>
      </w:r>
      <w:r>
        <w:rPr>
          <w:color w:val="231F20"/>
          <w:spacing w:val="-27"/>
        </w:rPr>
        <w:t> </w:t>
      </w:r>
      <w:r>
        <w:rPr>
          <w:color w:val="231F20"/>
        </w:rPr>
        <w:t>interac- tion between rising hydrothermal fluids, circulating seawa- ter,</w:t>
      </w:r>
      <w:r>
        <w:rPr>
          <w:color w:val="231F20"/>
          <w:spacing w:val="-9"/>
        </w:rPr>
        <w:t> </w:t>
      </w:r>
      <w:r>
        <w:rPr>
          <w:color w:val="231F20"/>
        </w:rPr>
        <w:t>and</w:t>
      </w:r>
      <w:r>
        <w:rPr>
          <w:color w:val="231F20"/>
          <w:spacing w:val="-9"/>
        </w:rPr>
        <w:t> </w:t>
      </w:r>
      <w:r>
        <w:rPr>
          <w:color w:val="231F20"/>
        </w:rPr>
        <w:t>subseafloor</w:t>
      </w:r>
      <w:r>
        <w:rPr>
          <w:color w:val="231F20"/>
          <w:spacing w:val="-9"/>
        </w:rPr>
        <w:t> </w:t>
      </w:r>
      <w:r>
        <w:rPr>
          <w:color w:val="231F20"/>
        </w:rPr>
        <w:t>rocks.</w:t>
      </w:r>
      <w:r>
        <w:rPr>
          <w:color w:val="231F20"/>
          <w:spacing w:val="-13"/>
        </w:rPr>
        <w:t> </w:t>
      </w:r>
      <w:r>
        <w:rPr>
          <w:color w:val="231F20"/>
        </w:rPr>
        <w:t>The</w:t>
      </w:r>
      <w:r>
        <w:rPr>
          <w:color w:val="231F20"/>
          <w:spacing w:val="-9"/>
        </w:rPr>
        <w:t> </w:t>
      </w:r>
      <w:r>
        <w:rPr>
          <w:color w:val="231F20"/>
        </w:rPr>
        <w:t>alteration</w:t>
      </w:r>
      <w:r>
        <w:rPr>
          <w:color w:val="231F20"/>
          <w:spacing w:val="-9"/>
        </w:rPr>
        <w:t> </w:t>
      </w:r>
      <w:r>
        <w:rPr>
          <w:color w:val="231F20"/>
        </w:rPr>
        <w:t>zones</w:t>
      </w:r>
      <w:r>
        <w:rPr>
          <w:color w:val="231F20"/>
          <w:spacing w:val="-9"/>
        </w:rPr>
        <w:t> </w:t>
      </w:r>
      <w:r>
        <w:rPr>
          <w:color w:val="231F20"/>
        </w:rPr>
        <w:t>and</w:t>
      </w:r>
      <w:r>
        <w:rPr>
          <w:color w:val="231F20"/>
          <w:spacing w:val="-9"/>
        </w:rPr>
        <w:t> </w:t>
      </w:r>
      <w:r>
        <w:rPr>
          <w:color w:val="231F20"/>
        </w:rPr>
        <w:t>attendant stockwork vein systems may extend vertically below a deposit for several hundred metres. Proximal hanging-wall alteration can manifest itself as a semi-conformable halo up to tens of metres thick (Brunswick No 12, Bathurst) or may continue above the deposit for tens to hundreds of metres as a</w:t>
      </w:r>
      <w:r>
        <w:rPr>
          <w:color w:val="231F20"/>
          <w:spacing w:val="-7"/>
        </w:rPr>
        <w:t> </w:t>
      </w:r>
      <w:r>
        <w:rPr>
          <w:color w:val="231F20"/>
        </w:rPr>
        <w:t>discordant</w:t>
      </w:r>
      <w:r>
        <w:rPr>
          <w:color w:val="231F20"/>
          <w:spacing w:val="-7"/>
        </w:rPr>
        <w:t> </w:t>
      </w:r>
      <w:r>
        <w:rPr>
          <w:color w:val="231F20"/>
        </w:rPr>
        <w:t>alteration</w:t>
      </w:r>
      <w:r>
        <w:rPr>
          <w:color w:val="231F20"/>
          <w:spacing w:val="-7"/>
        </w:rPr>
        <w:t> </w:t>
      </w:r>
      <w:r>
        <w:rPr>
          <w:color w:val="231F20"/>
        </w:rPr>
        <w:t>zone</w:t>
      </w:r>
      <w:r>
        <w:rPr>
          <w:color w:val="231F20"/>
          <w:spacing w:val="-7"/>
        </w:rPr>
        <w:t> </w:t>
      </w:r>
      <w:r>
        <w:rPr>
          <w:color w:val="231F20"/>
        </w:rPr>
        <w:t>(Ansil,</w:t>
      </w:r>
      <w:r>
        <w:rPr>
          <w:color w:val="231F20"/>
          <w:spacing w:val="-7"/>
        </w:rPr>
        <w:t> </w:t>
      </w:r>
      <w:r>
        <w:rPr>
          <w:color w:val="231F20"/>
        </w:rPr>
        <w:t>Noranda).</w:t>
      </w:r>
      <w:r>
        <w:rPr>
          <w:color w:val="231F20"/>
          <w:spacing w:val="-7"/>
        </w:rPr>
        <w:t> </w:t>
      </w:r>
      <w:r>
        <w:rPr>
          <w:color w:val="231F20"/>
        </w:rPr>
        <w:t>In</w:t>
      </w:r>
      <w:r>
        <w:rPr>
          <w:color w:val="231F20"/>
          <w:spacing w:val="-7"/>
        </w:rPr>
        <w:t> </w:t>
      </w:r>
      <w:r>
        <w:rPr>
          <w:color w:val="231F20"/>
        </w:rPr>
        <w:t>some</w:t>
      </w:r>
      <w:r>
        <w:rPr>
          <w:color w:val="231F20"/>
          <w:spacing w:val="-7"/>
        </w:rPr>
        <w:t> </w:t>
      </w:r>
      <w:r>
        <w:rPr>
          <w:color w:val="231F20"/>
        </w:rPr>
        <w:t>cases, the proximal alteration zone and attendant stockwork vein mineralization connects a series of stacked massive sulphide lenses (Amulet, Noranda; LaRonde, Bousquet) representing synchronous and/or sequential phases of ore formation dur- ing successive breaks in volcanic</w:t>
      </w:r>
      <w:r>
        <w:rPr>
          <w:color w:val="231F20"/>
          <w:spacing w:val="20"/>
        </w:rPr>
        <w:t> </w:t>
      </w:r>
      <w:r>
        <w:rPr>
          <w:color w:val="231F20"/>
        </w:rPr>
        <w:t>activity.</w:t>
      </w:r>
    </w:p>
    <w:p>
      <w:pPr>
        <w:pStyle w:val="BodyText"/>
        <w:spacing w:line="230" w:lineRule="auto" w:before="21"/>
        <w:ind w:left="319" w:right="1096" w:firstLine="216"/>
        <w:jc w:val="both"/>
      </w:pPr>
      <w:r>
        <w:rPr>
          <w:color w:val="231F20"/>
        </w:rPr>
        <w:t>In plan view, proximal alteration zones may form a halo up to twice the diameter of the massive sulphide lens (Fig. 22), but with deposits such as Chisel Lake, Snow Lake</w:t>
      </w:r>
    </w:p>
    <w:p>
      <w:pPr>
        <w:spacing w:after="0" w:line="230" w:lineRule="auto"/>
        <w:jc w:val="both"/>
        <w:sectPr>
          <w:pgSz w:w="12240" w:h="15840"/>
          <w:pgMar w:header="673" w:footer="779" w:top="1000" w:bottom="960" w:left="0" w:right="0"/>
          <w:cols w:num="2" w:equalWidth="0">
            <w:col w:w="5941" w:space="40"/>
            <w:col w:w="6259"/>
          </w:cols>
        </w:sectPr>
      </w:pPr>
    </w:p>
    <w:p>
      <w:pPr>
        <w:pStyle w:val="BodyText"/>
        <w:spacing w:before="6"/>
        <w:rPr>
          <w:sz w:val="18"/>
        </w:rPr>
      </w:pPr>
    </w:p>
    <w:p>
      <w:pPr>
        <w:pStyle w:val="BodyText"/>
        <w:tabs>
          <w:tab w:pos="6330" w:val="left" w:leader="none"/>
        </w:tabs>
        <w:ind w:left="1110"/>
      </w:pPr>
      <w:r>
        <w:rPr/>
        <w:pict>
          <v:group style="width:243.05pt;height:158.3pt;mso-position-horizontal-relative:char;mso-position-vertical-relative:line" coordorigin="0,0" coordsize="4861,3166">
            <v:shape style="position:absolute;left:0;top:0;width:4861;height:3166" type="#_x0000_t75" stroked="false">
              <v:imagedata r:id="rId224" o:title=""/>
            </v:shape>
            <v:shape style="position:absolute;left:4622;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A</w:t>
                    </w:r>
                  </w:p>
                </w:txbxContent>
              </v:textbox>
              <w10:wrap type="none"/>
            </v:shape>
          </v:group>
        </w:pict>
      </w:r>
      <w:r>
        <w:rPr/>
      </w:r>
      <w:r>
        <w:rPr/>
        <w:tab/>
      </w:r>
      <w:r>
        <w:rPr/>
        <w:pict>
          <v:group style="width:243pt;height:158.25pt;mso-position-horizontal-relative:char;mso-position-vertical-relative:line" coordorigin="0,0" coordsize="4860,3165">
            <v:shape style="position:absolute;left:0;top:0;width:4860;height:3165" type="#_x0000_t75" stroked="false">
              <v:imagedata r:id="rId225" o:title=""/>
            </v:shape>
            <v:shape style="position:absolute;left:4637;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B</w:t>
                    </w:r>
                  </w:p>
                </w:txbxContent>
              </v:textbox>
              <w10:wrap type="none"/>
            </v:shape>
          </v:group>
        </w:pict>
      </w:r>
      <w:r>
        <w:rPr/>
      </w:r>
    </w:p>
    <w:p>
      <w:pPr>
        <w:pStyle w:val="BodyText"/>
        <w:spacing w:before="3"/>
        <w:rPr>
          <w:sz w:val="5"/>
        </w:rPr>
      </w:pPr>
      <w:r>
        <w:rPr/>
        <w:pict>
          <v:group style="position:absolute;margin-left:54.159012pt;margin-top:5.000061pt;width:242.7pt;height:150.75pt;mso-position-horizontal-relative:page;mso-position-vertical-relative:paragraph;z-index:8680;mso-wrap-distance-left:0;mso-wrap-distance-right:0" coordorigin="1083,100" coordsize="4854,3015">
            <v:shape style="position:absolute;left:1083;top:100;width:4854;height:3015" type="#_x0000_t75" stroked="false">
              <v:imagedata r:id="rId226" o:title=""/>
            </v:shape>
            <v:shape style="position:absolute;left:5732;top:13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C</w:t>
                    </w:r>
                  </w:p>
                </w:txbxContent>
              </v:textbox>
              <w10:wrap type="none"/>
            </v:shape>
            <w10:wrap type="topAndBottom"/>
          </v:group>
        </w:pict>
      </w:r>
      <w:r>
        <w:rPr/>
        <w:pict>
          <v:group style="position:absolute;margin-left:317.366943pt;margin-top:5pt;width:241.3pt;height:150.8pt;mso-position-horizontal-relative:page;mso-position-vertical-relative:paragraph;z-index:8728;mso-wrap-distance-left:0;mso-wrap-distance-right:0" coordorigin="6347,100" coordsize="4826,3016">
            <v:shape style="position:absolute;left:6347;top:100;width:4826;height:3016" type="#_x0000_t75" stroked="false">
              <v:imagedata r:id="rId227" o:title=""/>
            </v:shape>
            <v:shape style="position:absolute;left:10967;top:13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D</w:t>
                    </w:r>
                  </w:p>
                </w:txbxContent>
              </v:textbox>
              <w10:wrap type="none"/>
            </v:shape>
            <w10:wrap type="topAndBottom"/>
          </v:group>
        </w:pict>
      </w:r>
    </w:p>
    <w:p>
      <w:pPr>
        <w:pStyle w:val="BodyText"/>
      </w:pPr>
    </w:p>
    <w:p>
      <w:pPr>
        <w:pStyle w:val="BodyText"/>
      </w:pPr>
    </w:p>
    <w:p>
      <w:pPr>
        <w:pStyle w:val="BodyText"/>
      </w:pPr>
    </w:p>
    <w:p>
      <w:pPr>
        <w:pStyle w:val="BodyText"/>
      </w:pPr>
    </w:p>
    <w:p>
      <w:pPr>
        <w:spacing w:after="0"/>
        <w:sectPr>
          <w:pgSz w:w="12240" w:h="15840"/>
          <w:pgMar w:header="673" w:footer="779" w:top="1000" w:bottom="960" w:left="0" w:right="0"/>
        </w:sectPr>
      </w:pPr>
    </w:p>
    <w:p>
      <w:pPr>
        <w:pStyle w:val="BodyText"/>
        <w:spacing w:before="8"/>
        <w:rPr>
          <w:sz w:val="21"/>
        </w:rPr>
      </w:pPr>
    </w:p>
    <w:p>
      <w:pPr>
        <w:pStyle w:val="BodyText"/>
        <w:spacing w:line="230" w:lineRule="auto"/>
        <w:ind w:left="1115"/>
        <w:jc w:val="both"/>
      </w:pPr>
      <w:r>
        <w:rPr/>
        <w:pict>
          <v:group style="position:absolute;margin-left:56.254002pt;margin-top:-54.631241pt;width:502.55pt;height:55.7pt;mso-position-horizontal-relative:page;mso-position-vertical-relative:paragraph;z-index:8776" coordorigin="1125,-1093" coordsize="10051,1114">
            <v:rect style="position:absolute;left:1125;top:-1060;width:10051;height:1080" filled="true" fillcolor="#ffffff" stroked="false">
              <v:fill type="solid"/>
            </v:rect>
            <v:shape style="position:absolute;left:1125;top:-1093;width:10051;height:1114" type="#_x0000_t202" filled="false" stroked="false">
              <v:textbox inset="0,0,0,0">
                <w:txbxContent>
                  <w:p>
                    <w:pPr>
                      <w:spacing w:line="230" w:lineRule="auto" w:before="20"/>
                      <w:ind w:left="20" w:right="17" w:hanging="1"/>
                      <w:jc w:val="both"/>
                      <w:rPr>
                        <w:sz w:val="16"/>
                      </w:rPr>
                    </w:pPr>
                    <w:r>
                      <w:rPr>
                        <w:b/>
                        <w:color w:val="231F20"/>
                        <w:sz w:val="16"/>
                      </w:rPr>
                      <w:t>F</w:t>
                    </w:r>
                    <w:r>
                      <w:rPr>
                        <w:b/>
                        <w:color w:val="231F20"/>
                        <w:sz w:val="16"/>
                        <w:vertAlign w:val="subscript"/>
                      </w:rPr>
                      <w:t>IGURE</w:t>
                    </w:r>
                    <w:r>
                      <w:rPr>
                        <w:b/>
                        <w:color w:val="231F20"/>
                        <w:sz w:val="16"/>
                        <w:vertAlign w:val="baseline"/>
                      </w:rPr>
                      <w:t> 19. (A) </w:t>
                    </w:r>
                    <w:r>
                      <w:rPr>
                        <w:color w:val="231F20"/>
                        <w:sz w:val="16"/>
                        <w:vertAlign w:val="baseline"/>
                      </w:rPr>
                      <w:t>Example of a zoned sulphide chimney from the Endeavour Ridge vent field (I.R. Jonasson). </w:t>
                    </w:r>
                    <w:r>
                      <w:rPr>
                        <w:b/>
                        <w:color w:val="231F20"/>
                        <w:sz w:val="16"/>
                        <w:vertAlign w:val="baseline"/>
                      </w:rPr>
                      <w:t>(B) </w:t>
                    </w:r>
                    <w:r>
                      <w:rPr>
                        <w:color w:val="231F20"/>
                        <w:sz w:val="16"/>
                        <w:vertAlign w:val="baseline"/>
                      </w:rPr>
                      <w:t>Typical textures from a massive sulphide mound, Main vent field, Juan de Fuca Ridge. Mineralogical banding is due to incremental chimney growth, with ovoids representing worm casts. Fragment cemented by later sulphide growth during mound collapse and subsequent invasion by hydrothermal fluid. </w:t>
                    </w:r>
                    <w:r>
                      <w:rPr>
                        <w:b/>
                        <w:color w:val="231F20"/>
                        <w:sz w:val="16"/>
                        <w:vertAlign w:val="baseline"/>
                      </w:rPr>
                      <w:t>(C) </w:t>
                    </w:r>
                    <w:r>
                      <w:rPr>
                        <w:color w:val="231F20"/>
                        <w:sz w:val="16"/>
                        <w:vertAlign w:val="baseline"/>
                      </w:rPr>
                      <w:t>Clastic sandy sulphide ore from Cretaceous Aarja deposit, Semail ophiolite, Oman. This common texture is created by repeated mound collapse resulting from anhydrite dissolution and recementing with later sulphide (photo by I.R. Jonasson). </w:t>
                    </w:r>
                    <w:r>
                      <w:rPr>
                        <w:b/>
                        <w:color w:val="231F20"/>
                        <w:sz w:val="16"/>
                        <w:vertAlign w:val="baseline"/>
                      </w:rPr>
                      <w:t>(D) </w:t>
                    </w:r>
                    <w:r>
                      <w:rPr>
                        <w:color w:val="231F20"/>
                        <w:sz w:val="16"/>
                        <w:vertAlign w:val="baseline"/>
                      </w:rPr>
                      <w:t>Pyrite-sphalerite clast as part of a proximal debris flow, Louvicourt, Val d’Or. 15 cm metal grid for scale.</w:t>
                    </w:r>
                  </w:p>
                </w:txbxContent>
              </v:textbox>
              <w10:wrap type="none"/>
            </v:shape>
            <w10:wrap type="none"/>
          </v:group>
        </w:pict>
      </w:r>
      <w:r>
        <w:rPr>
          <w:color w:val="231F20"/>
        </w:rPr>
        <w:t>camp, or Eskay Creek, British Columbia, footwall alteration can be volumetrically extensive and many times the diame- ter of the massive sulphide lens (Galley et al., 1993). The morphology of proximal alteration zones can vary </w:t>
      </w:r>
      <w:r>
        <w:rPr>
          <w:color w:val="231F20"/>
          <w:spacing w:val="-3"/>
        </w:rPr>
        <w:t>widely, </w:t>
      </w:r>
      <w:r>
        <w:rPr>
          <w:color w:val="231F20"/>
        </w:rPr>
        <w:t>but generally they tend to widen in proximity to the paleo- seafloor surface, suggesting more intensive interaction between shallowly circulating, or connate, seawater and an ascending hydrothermal fluid. The internal mineralogical zonation of the alteration zones is indicative of these mixing phenomena. A Fe-chlorite-quartz-sulphide±sericite± talc mineral assemblage is commonly associated with the core</w:t>
      </w:r>
      <w:r>
        <w:rPr>
          <w:color w:val="231F20"/>
          <w:spacing w:val="-19"/>
        </w:rPr>
        <w:t> </w:t>
      </w:r>
      <w:r>
        <w:rPr>
          <w:color w:val="231F20"/>
        </w:rPr>
        <w:t>of stockwork vein mineralization, which becomes increasingly quartz- and sulphide-rich towards the lower contact of the massive</w:t>
      </w:r>
      <w:r>
        <w:rPr>
          <w:color w:val="231F20"/>
          <w:spacing w:val="10"/>
        </w:rPr>
        <w:t> </w:t>
      </w:r>
      <w:r>
        <w:rPr>
          <w:color w:val="231F20"/>
        </w:rPr>
        <w:t>sulphide</w:t>
      </w:r>
      <w:r>
        <w:rPr>
          <w:color w:val="231F20"/>
          <w:spacing w:val="10"/>
        </w:rPr>
        <w:t> </w:t>
      </w:r>
      <w:r>
        <w:rPr>
          <w:color w:val="231F20"/>
        </w:rPr>
        <w:t>lens.</w:t>
      </w:r>
      <w:r>
        <w:rPr>
          <w:color w:val="231F20"/>
          <w:spacing w:val="10"/>
        </w:rPr>
        <w:t> </w:t>
      </w:r>
      <w:r>
        <w:rPr>
          <w:color w:val="231F20"/>
        </w:rPr>
        <w:t>In</w:t>
      </w:r>
      <w:r>
        <w:rPr>
          <w:color w:val="231F20"/>
          <w:spacing w:val="10"/>
        </w:rPr>
        <w:t> </w:t>
      </w:r>
      <w:r>
        <w:rPr>
          <w:color w:val="231F20"/>
        </w:rPr>
        <w:t>some</w:t>
      </w:r>
      <w:r>
        <w:rPr>
          <w:color w:val="231F20"/>
          <w:spacing w:val="10"/>
        </w:rPr>
        <w:t> </w:t>
      </w:r>
      <w:r>
        <w:rPr>
          <w:color w:val="231F20"/>
        </w:rPr>
        <w:t>cases,</w:t>
      </w:r>
      <w:r>
        <w:rPr>
          <w:color w:val="231F20"/>
          <w:spacing w:val="10"/>
        </w:rPr>
        <w:t> </w:t>
      </w:r>
      <w:r>
        <w:rPr>
          <w:color w:val="231F20"/>
        </w:rPr>
        <w:t>talc</w:t>
      </w:r>
      <w:r>
        <w:rPr>
          <w:color w:val="231F20"/>
          <w:spacing w:val="10"/>
        </w:rPr>
        <w:t> </w:t>
      </w:r>
      <w:r>
        <w:rPr>
          <w:color w:val="231F20"/>
        </w:rPr>
        <w:t>and/or</w:t>
      </w:r>
      <w:r>
        <w:rPr>
          <w:color w:val="231F20"/>
          <w:spacing w:val="10"/>
        </w:rPr>
        <w:t> </w:t>
      </w:r>
      <w:r>
        <w:rPr>
          <w:color w:val="231F20"/>
        </w:rPr>
        <w:t>magnetite</w:t>
      </w:r>
    </w:p>
    <w:p>
      <w:pPr>
        <w:pStyle w:val="BodyText"/>
        <w:spacing w:before="8"/>
        <w:rPr>
          <w:sz w:val="21"/>
        </w:rPr>
      </w:pPr>
      <w:r>
        <w:rPr/>
        <w:br w:type="column"/>
      </w:r>
      <w:r>
        <w:rPr>
          <w:sz w:val="21"/>
        </w:rPr>
      </w:r>
    </w:p>
    <w:p>
      <w:pPr>
        <w:pStyle w:val="BodyText"/>
        <w:spacing w:line="230" w:lineRule="auto"/>
        <w:ind w:left="317" w:right="1081" w:firstLine="216"/>
        <w:jc w:val="both"/>
      </w:pPr>
      <w:r>
        <w:rPr>
          <w:color w:val="231F20"/>
        </w:rPr>
        <w:t>In shallow-water environments (i.e. &lt;1,500 m water depth), boiling may have occurred either in the upflow zone or in the immediate subseafloor. Depending on the extent of boiling, this can result in vertically extensive pyritic stock-</w:t>
      </w:r>
    </w:p>
    <w:p>
      <w:pPr>
        <w:pStyle w:val="BodyText"/>
        <w:rPr>
          <w:sz w:val="26"/>
        </w:rPr>
      </w:pPr>
    </w:p>
    <w:p>
      <w:pPr>
        <w:spacing w:before="224"/>
        <w:ind w:left="317" w:right="0" w:firstLine="0"/>
        <w:jc w:val="left"/>
        <w:rPr>
          <w:rFonts w:ascii="Arial"/>
          <w:sz w:val="16"/>
        </w:rPr>
      </w:pPr>
      <w:r>
        <w:rPr/>
        <w:drawing>
          <wp:anchor distT="0" distB="0" distL="0" distR="0" allowOverlap="1" layoutInCell="1" locked="0" behindDoc="1" simplePos="0" relativeHeight="268260911">
            <wp:simplePos x="0" y="0"/>
            <wp:positionH relativeFrom="page">
              <wp:posOffset>4012914</wp:posOffset>
            </wp:positionH>
            <wp:positionV relativeFrom="paragraph">
              <wp:posOffset>-1918</wp:posOffset>
            </wp:positionV>
            <wp:extent cx="3074511" cy="1540395"/>
            <wp:effectExtent l="0" t="0" r="0" b="0"/>
            <wp:wrapNone/>
            <wp:docPr id="63" name="image215.png" descr=""/>
            <wp:cNvGraphicFramePr>
              <a:graphicFrameLocks noChangeAspect="1"/>
            </wp:cNvGraphicFramePr>
            <a:graphic>
              <a:graphicData uri="http://schemas.openxmlformats.org/drawingml/2006/picture">
                <pic:pic>
                  <pic:nvPicPr>
                    <pic:cNvPr id="64" name="image215.png"/>
                    <pic:cNvPicPr/>
                  </pic:nvPicPr>
                  <pic:blipFill>
                    <a:blip r:embed="rId228" cstate="print"/>
                    <a:stretch>
                      <a:fillRect/>
                    </a:stretch>
                  </pic:blipFill>
                  <pic:spPr>
                    <a:xfrm>
                      <a:off x="0" y="0"/>
                      <a:ext cx="3074511" cy="1540395"/>
                    </a:xfrm>
                    <a:prstGeom prst="rect">
                      <a:avLst/>
                    </a:prstGeom>
                  </pic:spPr>
                </pic:pic>
              </a:graphicData>
            </a:graphic>
          </wp:anchor>
        </w:drawing>
      </w:r>
      <w:r>
        <w:rPr>
          <w:rFonts w:ascii="Arial"/>
          <w:color w:val="231F20"/>
          <w:sz w:val="16"/>
        </w:rPr>
        <w:t>Massive sulphide mound</w:t>
      </w:r>
    </w:p>
    <w:p>
      <w:pPr>
        <w:spacing w:after="0"/>
        <w:jc w:val="left"/>
        <w:rPr>
          <w:rFonts w:ascii="Arial"/>
          <w:sz w:val="16"/>
        </w:rPr>
        <w:sectPr>
          <w:type w:val="continuous"/>
          <w:pgSz w:w="12240" w:h="15840"/>
          <w:pgMar w:top="920" w:bottom="280" w:left="0" w:right="0"/>
          <w:cols w:num="2" w:equalWidth="0">
            <w:col w:w="5959" w:space="40"/>
            <w:col w:w="6241"/>
          </w:cols>
        </w:sectPr>
      </w:pPr>
    </w:p>
    <w:p>
      <w:pPr>
        <w:pStyle w:val="BodyText"/>
        <w:spacing w:line="230" w:lineRule="auto"/>
        <w:ind w:left="1115"/>
        <w:jc w:val="both"/>
      </w:pPr>
      <w:r>
        <w:rPr>
          <w:color w:val="231F20"/>
        </w:rPr>
        <w:t>occur at the base of the massive sulphide lens and the top of the alteration pipe, as at several of the Matagami district VMS deposits, the Ansil deposit in the Noranda camp, and the Late Triassic Chu Chua deposit in the Slide Mountain terrane of British Columbia. The core zone is cloaked in a wider zone of Fe-Mg-chlorite-sericite, including phengite in the part of this zone that encompasses the immediate hang- ing wall to the massive sulphide lens. Outboard from this is a zone rich in sericite, phengite, Mg-chlorite, ±albite, ±car-</w:t>
      </w:r>
    </w:p>
    <w:p>
      <w:pPr>
        <w:spacing w:before="78"/>
        <w:ind w:left="575" w:right="0" w:firstLine="0"/>
        <w:jc w:val="left"/>
        <w:rPr>
          <w:rFonts w:ascii="Arial"/>
          <w:sz w:val="14"/>
        </w:rPr>
      </w:pPr>
      <w:r>
        <w:rPr/>
        <w:br w:type="column"/>
      </w:r>
      <w:r>
        <w:rPr>
          <w:rFonts w:ascii="Arial"/>
          <w:color w:val="231F20"/>
          <w:w w:val="105"/>
          <w:sz w:val="14"/>
        </w:rPr>
        <w:t>100</w:t>
      </w:r>
      <w:r>
        <w:rPr>
          <w:rFonts w:ascii="Arial"/>
          <w:color w:val="231F20"/>
          <w:spacing w:val="-3"/>
          <w:w w:val="105"/>
          <w:sz w:val="14"/>
        </w:rPr>
        <w:t> </w:t>
      </w:r>
      <w:r>
        <w:rPr>
          <w:rFonts w:ascii="Arial"/>
          <w:color w:val="231F20"/>
          <w:w w:val="105"/>
          <w:sz w:val="14"/>
        </w:rPr>
        <w:t>metres</w:t>
      </w:r>
    </w:p>
    <w:p>
      <w:pPr>
        <w:pStyle w:val="BodyText"/>
        <w:rPr>
          <w:rFonts w:ascii="Arial"/>
          <w:sz w:val="14"/>
        </w:rPr>
      </w:pPr>
      <w:r>
        <w:rPr/>
        <w:br w:type="column"/>
      </w:r>
      <w:r>
        <w:rPr>
          <w:rFonts w:ascii="Arial"/>
          <w:sz w:val="14"/>
        </w:rPr>
      </w:r>
    </w:p>
    <w:p>
      <w:pPr>
        <w:pStyle w:val="BodyText"/>
        <w:rPr>
          <w:rFonts w:ascii="Arial"/>
          <w:sz w:val="14"/>
        </w:rPr>
      </w:pPr>
    </w:p>
    <w:p>
      <w:pPr>
        <w:pStyle w:val="BodyText"/>
        <w:spacing w:before="1"/>
        <w:rPr>
          <w:rFonts w:ascii="Arial"/>
          <w:sz w:val="15"/>
        </w:rPr>
      </w:pPr>
    </w:p>
    <w:p>
      <w:pPr>
        <w:spacing w:before="0"/>
        <w:ind w:left="253" w:right="0" w:firstLine="0"/>
        <w:jc w:val="left"/>
        <w:rPr>
          <w:rFonts w:ascii="Lucida Sans Unicode"/>
          <w:sz w:val="14"/>
        </w:rPr>
      </w:pPr>
      <w:r>
        <w:rPr/>
        <w:pict>
          <v:group style="position:absolute;margin-left:339.923492pt;margin-top:8.082995pt;width:96.7pt;height:51.1pt;mso-position-horizontal-relative:page;mso-position-vertical-relative:paragraph;z-index:-174520" coordorigin="6798,162" coordsize="1934,1022">
            <v:rect style="position:absolute;left:6800;top:935;width:456;height:247" filled="true" fillcolor="#fcd3c1" stroked="false">
              <v:fill type="solid"/>
            </v:rect>
            <v:rect style="position:absolute;left:6800;top:935;width:456;height:247" filled="false" stroked="true" strokeweight=".197pt" strokecolor="#231f20">
              <v:stroke dashstyle="solid"/>
            </v:rect>
            <v:rect style="position:absolute;left:6800;top:681;width:456;height:254" filled="true" fillcolor="#f9aa8f" stroked="false">
              <v:fill type="solid"/>
            </v:rect>
            <v:rect style="position:absolute;left:6800;top:681;width:456;height:254" filled="false" stroked="true" strokeweight=".197pt" strokecolor="#231f20">
              <v:stroke dashstyle="solid"/>
            </v:rect>
            <v:rect style="position:absolute;left:6800;top:422;width:456;height:259" filled="true" fillcolor="#f58465" stroked="false">
              <v:fill type="solid"/>
            </v:rect>
            <v:rect style="position:absolute;left:6800;top:422;width:456;height:259" filled="false" stroked="true" strokeweight=".197pt" strokecolor="#231f20">
              <v:stroke dashstyle="solid"/>
            </v:rect>
            <v:rect style="position:absolute;left:6800;top:163;width:456;height:259" filled="true" fillcolor="#ca6c38" stroked="false">
              <v:fill type="solid"/>
            </v:rect>
            <v:rect style="position:absolute;left:6800;top:163;width:456;height:259" filled="false" stroked="true" strokeweight=".197pt" strokecolor="#231f20">
              <v:stroke dashstyle="solid"/>
            </v:rect>
            <v:shape style="position:absolute;left:0;top:3539;width:1477;height:513" coordorigin="0,3539" coordsize="1477,513" path="m7256,422l8732,422m7256,681l8732,681m7256,935l8732,935e" filled="false" stroked="true" strokeweight=".455pt" strokecolor="#231f20">
              <v:path arrowok="t"/>
              <v:stroke dashstyle="shortdash"/>
            </v:shape>
            <v:line style="position:absolute" from="7695,218" to="7698,337" stroked="true" strokeweight=".455pt" strokecolor="#231f20">
              <v:stroke dashstyle="solid"/>
            </v:line>
            <v:shape style="position:absolute;left:7667;top:175;width:58;height:204" coordorigin="7667,176" coordsize="58,204" path="m7723,260l7722,222,7722,218,7694,176,7667,219,7668,261,7695,222,7723,260m7724,295l7724,294,7723,295,7724,295m7725,337l7725,334,7697,334,7670,334,7670,338,7699,380,7725,337e" filled="true" fillcolor="#231f20" stroked="false">
              <v:path arrowok="t"/>
              <v:fill type="solid"/>
            </v:shape>
            <v:line style="position:absolute" from="7879,273" to="7880,511" stroked="true" strokeweight=".455pt" strokecolor="#231f20">
              <v:stroke dashstyle="solid"/>
            </v:line>
            <v:shape style="position:absolute;left:7851;top:230;width:56;height:324" coordorigin="7852,230" coordsize="56,324" path="m7907,315l7907,276,7907,273,7879,230,7852,273,7852,315,7879,276,7907,315m7907,469l7880,508,7852,469,7852,511,7880,554,7907,511,7907,508,7907,469e" filled="true" fillcolor="#231f20" stroked="false">
              <v:path arrowok="t"/>
              <v:fill type="solid"/>
            </v:shape>
            <v:line style="position:absolute" from="8648,815" to="8649,1129" stroked="true" strokeweight=".455pt" strokecolor="#231f20">
              <v:stroke dashstyle="solid"/>
            </v:line>
            <v:shape style="position:absolute;left:8620;top:772;width:56;height:399" coordorigin="8621,772" coordsize="56,399" path="m8676,857l8676,818,8676,815,8648,772,8621,815,8621,857,8648,818,8676,857m8676,1125l8676,1086,8649,1125,8621,1086,8621,1129,8649,1171,8676,1129,8676,1125e" filled="true" fillcolor="#231f20" stroked="false">
              <v:path arrowok="t"/>
              <v:fill type="solid"/>
            </v:shape>
            <v:line style="position:absolute" from="8453,756" to="8457,1124" stroked="true" strokeweight=".455pt" strokecolor="#231f20">
              <v:stroke dashstyle="solid"/>
            </v:line>
            <v:shape style="position:absolute;left:8425;top:713;width:60;height:453" coordorigin="8425,714" coordsize="60,453" path="m8481,798l8480,759,8480,756,8452,714,8425,756,8426,799,8453,759,8481,798m8484,1081l8484,1081,8484,1081,8484,1081m8485,1123l8485,1120,8457,1120,8430,1120,8430,1124,8458,1166,8485,1123e" filled="true" fillcolor="#231f20" stroked="false">
              <v:path arrowok="t"/>
              <v:fill type="solid"/>
            </v:shape>
            <v:line style="position:absolute" from="8080,506" to="8080,1116" stroked="true" strokeweight=".455pt" strokecolor="#231f20">
              <v:stroke dashstyle="solid"/>
            </v:line>
            <v:shape style="position:absolute;left:8052;top:463;width:56;height:695" coordorigin="8053,464" coordsize="56,695" path="m8108,506l8080,464,8053,506,8053,548,8080,509,8108,548,8108,509,8108,506m8108,1073l8080,1112,8053,1073,8053,1116,8081,1158,8108,1116,8108,1112,8108,1073e" filled="true" fillcolor="#231f20" stroked="false">
              <v:path arrowok="t"/>
              <v:fill type="solid"/>
            </v:shape>
            <v:line style="position:absolute" from="8268,505" to="8268,1126" stroked="true" strokeweight=".455pt" strokecolor="#231f20">
              <v:stroke dashstyle="solid"/>
            </v:line>
            <v:shape style="position:absolute;left:8240;top:462;width:56;height:707" coordorigin="8240,463" coordsize="56,707" path="m8295,1084l8268,1123,8240,1084,8240,1126,8268,1169,8295,1126,8295,1123,8295,1084m8295,505l8268,463,8240,505,8240,547,8268,509,8295,547,8295,509,8295,505e" filled="true" fillcolor="#231f20" stroked="false">
              <v:path arrowok="t"/>
              <v:fill type="solid"/>
            </v:shape>
            <w10:wrap type="none"/>
          </v:group>
        </w:pict>
      </w:r>
      <w:r>
        <w:rPr>
          <w:rFonts w:ascii="Lucida Sans Unicode"/>
          <w:color w:val="231F20"/>
          <w:w w:val="105"/>
          <w:position w:val="1"/>
          <w:sz w:val="14"/>
        </w:rPr>
        <w:t>Po </w:t>
      </w:r>
      <w:r>
        <w:rPr>
          <w:rFonts w:ascii="Lucida Sans Unicode"/>
          <w:color w:val="231F20"/>
          <w:w w:val="105"/>
          <w:sz w:val="14"/>
        </w:rPr>
        <w:t>Cp</w:t>
      </w:r>
    </w:p>
    <w:p>
      <w:pPr>
        <w:spacing w:before="15"/>
        <w:ind w:left="820" w:right="0" w:firstLine="0"/>
        <w:jc w:val="left"/>
        <w:rPr>
          <w:rFonts w:ascii="Lucida Sans Unicode"/>
          <w:sz w:val="14"/>
        </w:rPr>
      </w:pPr>
      <w:r>
        <w:rPr>
          <w:rFonts w:ascii="Lucida Sans Unicode"/>
          <w:color w:val="231F20"/>
          <w:sz w:val="14"/>
        </w:rPr>
        <w:t>Sp</w:t>
      </w:r>
    </w:p>
    <w:p>
      <w:pPr>
        <w:spacing w:before="47"/>
        <w:ind w:left="0" w:right="189" w:firstLine="0"/>
        <w:jc w:val="right"/>
        <w:rPr>
          <w:rFonts w:ascii="Lucida Sans Unicode"/>
          <w:sz w:val="14"/>
        </w:rPr>
      </w:pPr>
      <w:r>
        <w:rPr>
          <w:rFonts w:ascii="Lucida Sans Unicode"/>
          <w:color w:val="231F20"/>
          <w:sz w:val="14"/>
        </w:rPr>
        <w:t>Gn</w:t>
      </w:r>
    </w:p>
    <w:p>
      <w:pPr>
        <w:pStyle w:val="BodyText"/>
        <w:rPr>
          <w:rFonts w:ascii="Lucida Sans Unicode"/>
          <w:sz w:val="14"/>
        </w:rPr>
      </w:pPr>
    </w:p>
    <w:p>
      <w:pPr>
        <w:pStyle w:val="BodyText"/>
        <w:spacing w:before="5"/>
        <w:rPr>
          <w:rFonts w:ascii="Lucida Sans Unicode"/>
          <w:sz w:val="16"/>
        </w:rPr>
      </w:pPr>
    </w:p>
    <w:p>
      <w:pPr>
        <w:tabs>
          <w:tab w:pos="1204" w:val="left" w:leader="none"/>
        </w:tabs>
        <w:spacing w:before="0"/>
        <w:ind w:left="632" w:right="0" w:firstLine="0"/>
        <w:jc w:val="center"/>
        <w:rPr>
          <w:rFonts w:ascii="Lucida Sans Unicode"/>
          <w:sz w:val="14"/>
        </w:rPr>
      </w:pPr>
      <w:r>
        <w:rPr>
          <w:rFonts w:ascii="Arial"/>
          <w:b/>
          <w:color w:val="231F20"/>
          <w:spacing w:val="-8"/>
          <w:sz w:val="14"/>
        </w:rPr>
        <w:t>Py</w:t>
        <w:tab/>
      </w:r>
      <w:r>
        <w:rPr>
          <w:rFonts w:ascii="Lucida Sans Unicode"/>
          <w:color w:val="231F20"/>
          <w:sz w:val="14"/>
        </w:rPr>
        <w:t>Ba</w:t>
      </w:r>
    </w:p>
    <w:p>
      <w:pPr>
        <w:spacing w:line="398" w:lineRule="auto" w:before="0"/>
        <w:ind w:left="817" w:right="516" w:firstLine="365"/>
        <w:jc w:val="left"/>
        <w:rPr>
          <w:rFonts w:ascii="Arial"/>
          <w:sz w:val="16"/>
        </w:rPr>
      </w:pPr>
      <w:r>
        <w:rPr/>
        <w:br w:type="column"/>
      </w:r>
      <w:r>
        <w:rPr>
          <w:rFonts w:ascii="Arial"/>
          <w:color w:val="231F20"/>
          <w:sz w:val="16"/>
        </w:rPr>
        <w:t>Former seafloor Alteration pipe</w:t>
      </w:r>
    </w:p>
    <w:p>
      <w:pPr>
        <w:spacing w:after="0" w:line="398" w:lineRule="auto"/>
        <w:jc w:val="left"/>
        <w:rPr>
          <w:rFonts w:ascii="Arial"/>
          <w:sz w:val="16"/>
        </w:rPr>
        <w:sectPr>
          <w:type w:val="continuous"/>
          <w:pgSz w:w="12240" w:h="15840"/>
          <w:pgMar w:top="920" w:bottom="280" w:left="0" w:right="0"/>
          <w:cols w:num="4" w:equalWidth="0">
            <w:col w:w="5958" w:space="40"/>
            <w:col w:w="1308" w:space="39"/>
            <w:col w:w="1371" w:space="40"/>
            <w:col w:w="3484"/>
          </w:cols>
        </w:sectPr>
      </w:pPr>
    </w:p>
    <w:p>
      <w:pPr>
        <w:pStyle w:val="BodyText"/>
        <w:spacing w:line="200" w:lineRule="exact"/>
        <w:ind w:left="1115"/>
      </w:pPr>
      <w:r>
        <w:rPr>
          <w:color w:val="231F20"/>
        </w:rPr>
        <w:t>bonate, and ±barite. This outer zone may also encompass a</w:t>
      </w:r>
    </w:p>
    <w:p>
      <w:pPr>
        <w:pStyle w:val="BodyText"/>
        <w:spacing w:line="230" w:lineRule="auto" w:before="2"/>
        <w:ind w:left="1115"/>
      </w:pPr>
      <w:r>
        <w:rPr>
          <w:color w:val="231F20"/>
        </w:rPr>
        <w:t>portion of the hanging-wall strata above, and lateral to, the massive sulphide lens.</w:t>
      </w:r>
    </w:p>
    <w:p>
      <w:pPr>
        <w:spacing w:line="160" w:lineRule="exact" w:before="0"/>
        <w:ind w:left="337"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20. </w:t>
      </w:r>
      <w:r>
        <w:rPr>
          <w:color w:val="231F20"/>
          <w:sz w:val="16"/>
          <w:vertAlign w:val="baseline"/>
        </w:rPr>
        <w:t>Mineral zonation commonly observed within VMS deposits;</w:t>
      </w:r>
    </w:p>
    <w:p>
      <w:pPr>
        <w:spacing w:line="230" w:lineRule="auto" w:before="2"/>
        <w:ind w:left="337" w:right="1081" w:firstLine="0"/>
        <w:jc w:val="both"/>
        <w:rPr>
          <w:sz w:val="16"/>
        </w:rPr>
      </w:pPr>
      <w:r>
        <w:rPr>
          <w:color w:val="231F20"/>
          <w:sz w:val="16"/>
        </w:rPr>
        <w:t>this</w:t>
      </w:r>
      <w:r>
        <w:rPr>
          <w:color w:val="231F20"/>
          <w:spacing w:val="-8"/>
          <w:sz w:val="16"/>
        </w:rPr>
        <w:t> </w:t>
      </w:r>
      <w:r>
        <w:rPr>
          <w:color w:val="231F20"/>
          <w:sz w:val="16"/>
        </w:rPr>
        <w:t>zoning</w:t>
      </w:r>
      <w:r>
        <w:rPr>
          <w:color w:val="231F20"/>
          <w:spacing w:val="-8"/>
          <w:sz w:val="16"/>
        </w:rPr>
        <w:t> </w:t>
      </w:r>
      <w:r>
        <w:rPr>
          <w:color w:val="231F20"/>
          <w:sz w:val="16"/>
        </w:rPr>
        <w:t>is</w:t>
      </w:r>
      <w:r>
        <w:rPr>
          <w:color w:val="231F20"/>
          <w:spacing w:val="-8"/>
          <w:sz w:val="16"/>
        </w:rPr>
        <w:t> </w:t>
      </w:r>
      <w:r>
        <w:rPr>
          <w:color w:val="231F20"/>
          <w:sz w:val="16"/>
        </w:rPr>
        <w:t>largely</w:t>
      </w:r>
      <w:r>
        <w:rPr>
          <w:color w:val="231F20"/>
          <w:spacing w:val="-8"/>
          <w:sz w:val="16"/>
        </w:rPr>
        <w:t> </w:t>
      </w:r>
      <w:r>
        <w:rPr>
          <w:color w:val="231F20"/>
          <w:sz w:val="16"/>
        </w:rPr>
        <w:t>a</w:t>
      </w:r>
      <w:r>
        <w:rPr>
          <w:color w:val="231F20"/>
          <w:spacing w:val="-8"/>
          <w:sz w:val="16"/>
        </w:rPr>
        <w:t> </w:t>
      </w:r>
      <w:r>
        <w:rPr>
          <w:color w:val="231F20"/>
          <w:sz w:val="16"/>
        </w:rPr>
        <w:t>function</w:t>
      </w:r>
      <w:r>
        <w:rPr>
          <w:color w:val="231F20"/>
          <w:spacing w:val="-8"/>
          <w:sz w:val="16"/>
        </w:rPr>
        <w:t> </w:t>
      </w:r>
      <w:r>
        <w:rPr>
          <w:color w:val="231F20"/>
          <w:sz w:val="16"/>
        </w:rPr>
        <w:t>of</w:t>
      </w:r>
      <w:r>
        <w:rPr>
          <w:color w:val="231F20"/>
          <w:spacing w:val="-8"/>
          <w:sz w:val="16"/>
        </w:rPr>
        <w:t> </w:t>
      </w:r>
      <w:r>
        <w:rPr>
          <w:color w:val="231F20"/>
          <w:sz w:val="16"/>
        </w:rPr>
        <w:t>hydrothermal</w:t>
      </w:r>
      <w:r>
        <w:rPr>
          <w:color w:val="231F20"/>
          <w:spacing w:val="-8"/>
          <w:sz w:val="16"/>
        </w:rPr>
        <w:t> </w:t>
      </w:r>
      <w:r>
        <w:rPr>
          <w:color w:val="231F20"/>
          <w:sz w:val="16"/>
        </w:rPr>
        <w:t>fluid</w:t>
      </w:r>
      <w:r>
        <w:rPr>
          <w:color w:val="231F20"/>
          <w:spacing w:val="-8"/>
          <w:sz w:val="16"/>
        </w:rPr>
        <w:t> </w:t>
      </w:r>
      <w:r>
        <w:rPr>
          <w:color w:val="231F20"/>
          <w:sz w:val="16"/>
        </w:rPr>
        <w:t>temperature</w:t>
      </w:r>
      <w:r>
        <w:rPr>
          <w:color w:val="231F20"/>
          <w:spacing w:val="-8"/>
          <w:sz w:val="16"/>
        </w:rPr>
        <w:t> </w:t>
      </w:r>
      <w:r>
        <w:rPr>
          <w:color w:val="231F20"/>
          <w:sz w:val="16"/>
        </w:rPr>
        <w:t>and</w:t>
      </w:r>
      <w:r>
        <w:rPr>
          <w:color w:val="231F20"/>
          <w:spacing w:val="-8"/>
          <w:sz w:val="16"/>
        </w:rPr>
        <w:t> </w:t>
      </w:r>
      <w:r>
        <w:rPr>
          <w:color w:val="231F20"/>
          <w:sz w:val="16"/>
        </w:rPr>
        <w:t>com- position. Temperature gradient results in the zoning of sulphide minerals within both the discordant stockwork zone and the conformable sulphide mound. From Lydon</w:t>
      </w:r>
      <w:r>
        <w:rPr>
          <w:color w:val="231F20"/>
          <w:spacing w:val="10"/>
          <w:sz w:val="16"/>
        </w:rPr>
        <w:t> </w:t>
      </w:r>
      <w:r>
        <w:rPr>
          <w:color w:val="231F20"/>
          <w:sz w:val="16"/>
        </w:rPr>
        <w:t>(1984).</w:t>
      </w:r>
    </w:p>
    <w:p>
      <w:pPr>
        <w:spacing w:after="0" w:line="230" w:lineRule="auto"/>
        <w:jc w:val="both"/>
        <w:rPr>
          <w:sz w:val="16"/>
        </w:rPr>
        <w:sectPr>
          <w:type w:val="continuous"/>
          <w:pgSz w:w="12240" w:h="15840"/>
          <w:pgMar w:top="920" w:bottom="280" w:left="0" w:right="0"/>
          <w:cols w:num="2" w:equalWidth="0">
            <w:col w:w="5958" w:space="40"/>
            <w:col w:w="6242"/>
          </w:cols>
        </w:sectPr>
      </w:pPr>
    </w:p>
    <w:p>
      <w:pPr>
        <w:pStyle w:val="BodyText"/>
        <w:spacing w:before="6"/>
        <w:rPr>
          <w:sz w:val="18"/>
        </w:rPr>
      </w:pPr>
    </w:p>
    <w:p>
      <w:pPr>
        <w:pStyle w:val="BodyText"/>
        <w:tabs>
          <w:tab w:pos="6347" w:val="left" w:leader="none"/>
        </w:tabs>
        <w:ind w:left="1122"/>
      </w:pPr>
      <w:r>
        <w:rPr/>
        <w:pict>
          <v:group style="width:241.95pt;height:158.3pt;mso-position-horizontal-relative:char;mso-position-vertical-relative:line" coordorigin="0,0" coordsize="4839,3166">
            <v:shape style="position:absolute;left:0;top:0;width:4839;height:3166" type="#_x0000_t75" stroked="false">
              <v:imagedata r:id="rId229" o:title=""/>
            </v:shape>
            <v:shape style="position:absolute;left:4610;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A</w:t>
                    </w:r>
                  </w:p>
                </w:txbxContent>
              </v:textbox>
              <w10:wrap type="none"/>
            </v:shape>
          </v:group>
        </w:pict>
      </w:r>
      <w:r>
        <w:rPr/>
      </w:r>
      <w:r>
        <w:rPr/>
        <w:tab/>
      </w:r>
      <w:r>
        <w:rPr/>
        <w:pict>
          <v:group style="width:241.3pt;height:158.25pt;mso-position-horizontal-relative:char;mso-position-vertical-relative:line" coordorigin="0,0" coordsize="4826,3165">
            <v:shape style="position:absolute;left:0;top:0;width:4826;height:3165" type="#_x0000_t75" stroked="false">
              <v:imagedata r:id="rId230" o:title=""/>
            </v:shape>
            <v:shape style="position:absolute;left:4620;top:2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B</w:t>
                    </w:r>
                  </w:p>
                </w:txbxContent>
              </v:textbox>
              <w10:wrap type="none"/>
            </v:shape>
          </v:group>
        </w:pict>
      </w:r>
      <w:r>
        <w:rPr/>
      </w:r>
    </w:p>
    <w:p>
      <w:pPr>
        <w:pStyle w:val="BodyText"/>
        <w:spacing w:before="3"/>
        <w:rPr>
          <w:sz w:val="5"/>
        </w:rPr>
      </w:pPr>
      <w:r>
        <w:rPr/>
        <w:pict>
          <v:group style="position:absolute;margin-left:54pt;margin-top:5pt;width:243.05pt;height:150.75pt;mso-position-horizontal-relative:page;mso-position-vertical-relative:paragraph;z-index:8968;mso-wrap-distance-left:0;mso-wrap-distance-right:0" coordorigin="1080,100" coordsize="4861,3015">
            <v:shape style="position:absolute;left:1080;top:100;width:4861;height:3015" type="#_x0000_t75" stroked="false">
              <v:imagedata r:id="rId231" o:title=""/>
            </v:shape>
            <v:shape style="position:absolute;left:5732;top:13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C</w:t>
                    </w:r>
                  </w:p>
                </w:txbxContent>
              </v:textbox>
              <w10:wrap type="none"/>
            </v:shape>
            <w10:wrap type="topAndBottom"/>
          </v:group>
        </w:pict>
      </w:r>
      <w:r>
        <w:rPr/>
        <w:pict>
          <v:group style="position:absolute;margin-left:316.501007pt;margin-top:5pt;width:241.7pt;height:150.8pt;mso-position-horizontal-relative:page;mso-position-vertical-relative:paragraph;z-index:9016;mso-wrap-distance-left:0;mso-wrap-distance-right:0" coordorigin="6330,100" coordsize="4834,3016">
            <v:shape style="position:absolute;left:6330;top:100;width:4834;height:3016" type="#_x0000_t75" stroked="false">
              <v:imagedata r:id="rId232" o:title=""/>
            </v:shape>
            <v:shape style="position:absolute;left:10967;top:139;width:150;height:250" type="#_x0000_t202" filled="false" stroked="false">
              <v:textbox inset="0,0,0,0">
                <w:txbxContent>
                  <w:p>
                    <w:pPr>
                      <w:spacing w:before="13"/>
                      <w:ind w:left="0" w:right="0" w:firstLine="0"/>
                      <w:jc w:val="left"/>
                      <w:rPr>
                        <w:rFonts w:ascii="Arial"/>
                        <w:b/>
                        <w:sz w:val="18"/>
                      </w:rPr>
                    </w:pPr>
                    <w:r>
                      <w:rPr>
                        <w:rFonts w:ascii="Arial"/>
                        <w:b/>
                        <w:color w:val="FFFFFF"/>
                        <w:sz w:val="18"/>
                      </w:rPr>
                      <w:t>D</w:t>
                    </w:r>
                  </w:p>
                </w:txbxContent>
              </v:textbox>
              <w10:wrap type="none"/>
            </v:shape>
            <w10:wrap type="topAndBottom"/>
          </v:group>
        </w:pict>
      </w:r>
    </w:p>
    <w:p>
      <w:pPr>
        <w:pStyle w:val="BodyText"/>
      </w:pPr>
    </w:p>
    <w:p>
      <w:pPr>
        <w:pStyle w:val="BodyText"/>
      </w:pPr>
    </w:p>
    <w:p>
      <w:pPr>
        <w:pStyle w:val="BodyText"/>
      </w:pPr>
    </w:p>
    <w:p>
      <w:pPr>
        <w:pStyle w:val="BodyText"/>
        <w:spacing w:before="3"/>
        <w:rPr>
          <w:sz w:val="18"/>
        </w:rPr>
      </w:pPr>
    </w:p>
    <w:p>
      <w:pPr>
        <w:spacing w:after="0"/>
        <w:rPr>
          <w:sz w:val="18"/>
        </w:rPr>
        <w:sectPr>
          <w:pgSz w:w="12240" w:h="15840"/>
          <w:pgMar w:header="673" w:footer="779" w:top="1000" w:bottom="960" w:left="0" w:right="0"/>
        </w:sectPr>
      </w:pPr>
    </w:p>
    <w:p>
      <w:pPr>
        <w:pStyle w:val="BodyText"/>
        <w:spacing w:line="230" w:lineRule="auto" w:before="123"/>
        <w:ind w:left="1100"/>
        <w:jc w:val="both"/>
      </w:pPr>
      <w:r>
        <w:rPr/>
        <w:pict>
          <v:group style="position:absolute;margin-left:54pt;margin-top:-39.12133pt;width:504pt;height:46.35pt;mso-position-horizontal-relative:page;mso-position-vertical-relative:paragraph;z-index:9064" coordorigin="1080,-782" coordsize="10080,927">
            <v:rect style="position:absolute;left:1080;top:-750;width:10080;height:893" filled="true" fillcolor="#ffffff" stroked="false">
              <v:fill type="solid"/>
            </v:rect>
            <v:shape style="position:absolute;left:1080;top:-783;width:10080;height:927" type="#_x0000_t202" filled="false" stroked="false">
              <v:textbox inset="0,0,0,0">
                <w:txbxContent>
                  <w:p>
                    <w:pPr>
                      <w:spacing w:line="180" w:lineRule="exact" w:before="14"/>
                      <w:ind w:left="20" w:right="0" w:firstLine="0"/>
                      <w:jc w:val="left"/>
                      <w:rPr>
                        <w:sz w:val="16"/>
                      </w:rPr>
                    </w:pPr>
                    <w:r>
                      <w:rPr>
                        <w:b/>
                        <w:color w:val="231F20"/>
                        <w:sz w:val="16"/>
                      </w:rPr>
                      <w:t>F</w:t>
                    </w:r>
                    <w:r>
                      <w:rPr>
                        <w:b/>
                        <w:color w:val="231F20"/>
                        <w:sz w:val="16"/>
                        <w:vertAlign w:val="subscript"/>
                      </w:rPr>
                      <w:t>IGURE</w:t>
                    </w:r>
                    <w:r>
                      <w:rPr>
                        <w:b/>
                        <w:color w:val="231F20"/>
                        <w:sz w:val="16"/>
                        <w:vertAlign w:val="baseline"/>
                      </w:rPr>
                      <w:t> 21. (A) </w:t>
                    </w:r>
                    <w:r>
                      <w:rPr>
                        <w:color w:val="231F20"/>
                        <w:sz w:val="16"/>
                        <w:vertAlign w:val="baseline"/>
                      </w:rPr>
                      <w:t>Finely bedded tuff partially replaced by massive pyrrhotite-chalcopyrite at the Ansil deposit, Noranda. 15 cm metal plates for scale.</w:t>
                    </w:r>
                  </w:p>
                  <w:p>
                    <w:pPr>
                      <w:numPr>
                        <w:ilvl w:val="0"/>
                        <w:numId w:val="3"/>
                      </w:numPr>
                      <w:tabs>
                        <w:tab w:pos="282" w:val="left" w:leader="none"/>
                      </w:tabs>
                      <w:spacing w:line="176" w:lineRule="exact" w:before="0"/>
                      <w:ind w:left="19" w:right="0" w:firstLine="0"/>
                      <w:jc w:val="left"/>
                      <w:rPr>
                        <w:sz w:val="16"/>
                      </w:rPr>
                    </w:pPr>
                    <w:r>
                      <w:rPr>
                        <w:color w:val="231F20"/>
                        <w:sz w:val="16"/>
                      </w:rPr>
                      <w:t>Cranston</w:t>
                    </w:r>
                    <w:r>
                      <w:rPr>
                        <w:color w:val="231F20"/>
                        <w:spacing w:val="5"/>
                        <w:sz w:val="16"/>
                      </w:rPr>
                      <w:t> </w:t>
                    </w:r>
                    <w:r>
                      <w:rPr>
                        <w:color w:val="231F20"/>
                        <w:sz w:val="16"/>
                      </w:rPr>
                      <w:t>tuff</w:t>
                    </w:r>
                    <w:r>
                      <w:rPr>
                        <w:color w:val="231F20"/>
                        <w:spacing w:val="5"/>
                        <w:sz w:val="16"/>
                      </w:rPr>
                      <w:t> </w:t>
                    </w:r>
                    <w:r>
                      <w:rPr>
                        <w:color w:val="231F20"/>
                        <w:sz w:val="16"/>
                      </w:rPr>
                      <w:t>unit</w:t>
                    </w:r>
                    <w:r>
                      <w:rPr>
                        <w:color w:val="231F20"/>
                        <w:spacing w:val="5"/>
                        <w:sz w:val="16"/>
                      </w:rPr>
                      <w:t> </w:t>
                    </w:r>
                    <w:r>
                      <w:rPr>
                        <w:color w:val="231F20"/>
                        <w:sz w:val="16"/>
                      </w:rPr>
                      <w:t>with</w:t>
                    </w:r>
                    <w:r>
                      <w:rPr>
                        <w:color w:val="231F20"/>
                        <w:spacing w:val="5"/>
                        <w:sz w:val="16"/>
                      </w:rPr>
                      <w:t> </w:t>
                    </w:r>
                    <w:r>
                      <w:rPr>
                        <w:color w:val="231F20"/>
                        <w:sz w:val="16"/>
                      </w:rPr>
                      <w:t>lit-par-lit</w:t>
                    </w:r>
                    <w:r>
                      <w:rPr>
                        <w:color w:val="231F20"/>
                        <w:spacing w:val="5"/>
                        <w:sz w:val="16"/>
                      </w:rPr>
                      <w:t> </w:t>
                    </w:r>
                    <w:r>
                      <w:rPr>
                        <w:color w:val="231F20"/>
                        <w:sz w:val="16"/>
                      </w:rPr>
                      <w:t>replacement</w:t>
                    </w:r>
                    <w:r>
                      <w:rPr>
                        <w:color w:val="231F20"/>
                        <w:spacing w:val="5"/>
                        <w:sz w:val="16"/>
                      </w:rPr>
                      <w:t> </w:t>
                    </w:r>
                    <w:r>
                      <w:rPr>
                        <w:color w:val="231F20"/>
                        <w:sz w:val="16"/>
                      </w:rPr>
                      <w:t>and</w:t>
                    </w:r>
                    <w:r>
                      <w:rPr>
                        <w:color w:val="231F20"/>
                        <w:spacing w:val="5"/>
                        <w:sz w:val="16"/>
                      </w:rPr>
                      <w:t> </w:t>
                    </w:r>
                    <w:r>
                      <w:rPr>
                        <w:color w:val="231F20"/>
                        <w:sz w:val="16"/>
                      </w:rPr>
                      <w:t>in-filling</w:t>
                    </w:r>
                    <w:r>
                      <w:rPr>
                        <w:color w:val="231F20"/>
                        <w:spacing w:val="5"/>
                        <w:sz w:val="16"/>
                      </w:rPr>
                      <w:t> </w:t>
                    </w:r>
                    <w:r>
                      <w:rPr>
                        <w:color w:val="231F20"/>
                        <w:sz w:val="16"/>
                      </w:rPr>
                      <w:t>by</w:t>
                    </w:r>
                    <w:r>
                      <w:rPr>
                        <w:color w:val="231F20"/>
                        <w:spacing w:val="5"/>
                        <w:sz w:val="16"/>
                      </w:rPr>
                      <w:t> </w:t>
                    </w:r>
                    <w:r>
                      <w:rPr>
                        <w:color w:val="231F20"/>
                        <w:sz w:val="16"/>
                      </w:rPr>
                      <w:t>firstly</w:t>
                    </w:r>
                    <w:r>
                      <w:rPr>
                        <w:color w:val="231F20"/>
                        <w:spacing w:val="5"/>
                        <w:sz w:val="16"/>
                      </w:rPr>
                      <w:t> </w:t>
                    </w:r>
                    <w:r>
                      <w:rPr>
                        <w:color w:val="231F20"/>
                        <w:sz w:val="16"/>
                      </w:rPr>
                      <w:t>by</w:t>
                    </w:r>
                    <w:r>
                      <w:rPr>
                        <w:color w:val="231F20"/>
                        <w:spacing w:val="5"/>
                        <w:sz w:val="16"/>
                      </w:rPr>
                      <w:t> </w:t>
                    </w:r>
                    <w:r>
                      <w:rPr>
                        <w:color w:val="231F20"/>
                        <w:sz w:val="16"/>
                      </w:rPr>
                      <w:t>pyrite-sphalerite,</w:t>
                    </w:r>
                    <w:r>
                      <w:rPr>
                        <w:color w:val="231F20"/>
                        <w:spacing w:val="5"/>
                        <w:sz w:val="16"/>
                      </w:rPr>
                      <w:t> </w:t>
                    </w:r>
                    <w:r>
                      <w:rPr>
                        <w:color w:val="231F20"/>
                        <w:sz w:val="16"/>
                      </w:rPr>
                      <w:t>followed</w:t>
                    </w:r>
                    <w:r>
                      <w:rPr>
                        <w:color w:val="231F20"/>
                        <w:spacing w:val="5"/>
                        <w:sz w:val="16"/>
                      </w:rPr>
                      <w:t> </w:t>
                    </w:r>
                    <w:r>
                      <w:rPr>
                        <w:color w:val="231F20"/>
                        <w:sz w:val="16"/>
                      </w:rPr>
                      <w:t>by</w:t>
                    </w:r>
                    <w:r>
                      <w:rPr>
                        <w:color w:val="231F20"/>
                        <w:spacing w:val="5"/>
                        <w:sz w:val="16"/>
                      </w:rPr>
                      <w:t> </w:t>
                    </w:r>
                    <w:r>
                      <w:rPr>
                        <w:color w:val="231F20"/>
                        <w:sz w:val="16"/>
                      </w:rPr>
                      <w:t>pyrrhotite-chalcopyrite,</w:t>
                    </w:r>
                    <w:r>
                      <w:rPr>
                        <w:color w:val="231F20"/>
                        <w:spacing w:val="-4"/>
                        <w:sz w:val="16"/>
                      </w:rPr>
                      <w:t> </w:t>
                    </w:r>
                    <w:r>
                      <w:rPr>
                        <w:color w:val="231F20"/>
                        <w:sz w:val="16"/>
                      </w:rPr>
                      <w:t>Ansil</w:t>
                    </w:r>
                    <w:r>
                      <w:rPr>
                        <w:color w:val="231F20"/>
                        <w:spacing w:val="5"/>
                        <w:sz w:val="16"/>
                      </w:rPr>
                      <w:t> </w:t>
                    </w:r>
                    <w:r>
                      <w:rPr>
                        <w:color w:val="231F20"/>
                        <w:sz w:val="16"/>
                      </w:rPr>
                      <w:t>deposit,</w:t>
                    </w:r>
                    <w:r>
                      <w:rPr>
                        <w:color w:val="231F20"/>
                        <w:spacing w:val="5"/>
                        <w:sz w:val="16"/>
                      </w:rPr>
                      <w:t> </w:t>
                    </w:r>
                    <w:r>
                      <w:rPr>
                        <w:color w:val="231F20"/>
                        <w:sz w:val="16"/>
                      </w:rPr>
                      <w:t>Noranda.</w:t>
                    </w:r>
                  </w:p>
                  <w:p>
                    <w:pPr>
                      <w:numPr>
                        <w:ilvl w:val="0"/>
                        <w:numId w:val="3"/>
                      </w:numPr>
                      <w:tabs>
                        <w:tab w:pos="289" w:val="left" w:leader="none"/>
                      </w:tabs>
                      <w:spacing w:line="230" w:lineRule="auto" w:before="2"/>
                      <w:ind w:left="19" w:right="18" w:firstLine="0"/>
                      <w:jc w:val="left"/>
                      <w:rPr>
                        <w:sz w:val="16"/>
                      </w:rPr>
                    </w:pPr>
                    <w:r>
                      <w:rPr>
                        <w:color w:val="231F20"/>
                        <w:sz w:val="16"/>
                      </w:rPr>
                      <w:t>Rhyolite clasts cemented by pyrite-sphalerite rich sulphide groundmass, Louvicourt deposit, </w:t>
                    </w:r>
                    <w:r>
                      <w:rPr>
                        <w:color w:val="231F20"/>
                        <w:spacing w:val="-6"/>
                        <w:sz w:val="16"/>
                      </w:rPr>
                      <w:t>Val </w:t>
                    </w:r>
                    <w:r>
                      <w:rPr>
                        <w:color w:val="231F20"/>
                        <w:sz w:val="16"/>
                      </w:rPr>
                      <w:t>d’Or. 12 cm red magnet for scale. </w:t>
                    </w:r>
                    <w:r>
                      <w:rPr>
                        <w:b/>
                        <w:color w:val="231F20"/>
                        <w:sz w:val="16"/>
                      </w:rPr>
                      <w:t>(D) </w:t>
                    </w:r>
                    <w:r>
                      <w:rPr>
                        <w:color w:val="231F20"/>
                        <w:spacing w:val="-4"/>
                        <w:sz w:val="16"/>
                      </w:rPr>
                      <w:t>Well </w:t>
                    </w:r>
                    <w:r>
                      <w:rPr>
                        <w:color w:val="231F20"/>
                        <w:sz w:val="16"/>
                      </w:rPr>
                      <w:t>developed pyrrhotite-chalcopyrite vein stockwork zone with intense chlorite alteration of the rhyolite wallrocks, Ansil deposit,</w:t>
                    </w:r>
                    <w:r>
                      <w:rPr>
                        <w:color w:val="231F20"/>
                        <w:spacing w:val="32"/>
                        <w:sz w:val="16"/>
                      </w:rPr>
                      <w:t> </w:t>
                    </w:r>
                    <w:r>
                      <w:rPr>
                        <w:color w:val="231F20"/>
                        <w:sz w:val="16"/>
                      </w:rPr>
                      <w:t>Noranda.</w:t>
                    </w:r>
                  </w:p>
                </w:txbxContent>
              </v:textbox>
              <w10:wrap type="none"/>
            </v:shape>
            <w10:wrap type="none"/>
          </v:group>
        </w:pict>
      </w:r>
      <w:r>
        <w:rPr>
          <w:color w:val="231F20"/>
        </w:rPr>
        <w:t>work zones, possibly with widespread and intense sericite- quartz-pyrite</w:t>
      </w:r>
      <w:r>
        <w:rPr>
          <w:color w:val="231F20"/>
          <w:spacing w:val="-8"/>
        </w:rPr>
        <w:t> </w:t>
      </w:r>
      <w:r>
        <w:rPr>
          <w:color w:val="231F20"/>
        </w:rPr>
        <w:t>alteration.</w:t>
      </w:r>
      <w:r>
        <w:rPr>
          <w:color w:val="231F20"/>
          <w:spacing w:val="-11"/>
        </w:rPr>
        <w:t> </w:t>
      </w:r>
      <w:r>
        <w:rPr>
          <w:color w:val="231F20"/>
        </w:rPr>
        <w:t>The</w:t>
      </w:r>
      <w:r>
        <w:rPr>
          <w:color w:val="231F20"/>
          <w:spacing w:val="-8"/>
        </w:rPr>
        <w:t> </w:t>
      </w:r>
      <w:r>
        <w:rPr>
          <w:color w:val="231F20"/>
        </w:rPr>
        <w:t>extensive</w:t>
      </w:r>
      <w:r>
        <w:rPr>
          <w:color w:val="231F20"/>
          <w:spacing w:val="-8"/>
        </w:rPr>
        <w:t> </w:t>
      </w:r>
      <w:r>
        <w:rPr>
          <w:color w:val="231F20"/>
        </w:rPr>
        <w:t>sericite-rich</w:t>
      </w:r>
      <w:r>
        <w:rPr>
          <w:color w:val="231F20"/>
          <w:spacing w:val="-8"/>
        </w:rPr>
        <w:t> </w:t>
      </w:r>
      <w:r>
        <w:rPr>
          <w:color w:val="231F20"/>
        </w:rPr>
        <w:t>alteration system that underlies the Eskay Creek auriferous VMS deposit may be a product of extensive subsurface boiling of hydrothermal fluids, which resulted in the formation of low- temperature (&lt;200°C) Sb-Hg-As-Pb sulphosalt-rich ore lenses (Sherlock et al., 1999). More advanced argillic alter- ation</w:t>
      </w:r>
      <w:r>
        <w:rPr>
          <w:color w:val="231F20"/>
          <w:spacing w:val="-7"/>
        </w:rPr>
        <w:t> </w:t>
      </w:r>
      <w:r>
        <w:rPr>
          <w:color w:val="231F20"/>
        </w:rPr>
        <w:t>may</w:t>
      </w:r>
      <w:r>
        <w:rPr>
          <w:color w:val="231F20"/>
          <w:spacing w:val="-7"/>
        </w:rPr>
        <w:t> </w:t>
      </w:r>
      <w:r>
        <w:rPr>
          <w:color w:val="231F20"/>
        </w:rPr>
        <w:t>be</w:t>
      </w:r>
      <w:r>
        <w:rPr>
          <w:color w:val="231F20"/>
          <w:spacing w:val="-7"/>
        </w:rPr>
        <w:t> </w:t>
      </w:r>
      <w:r>
        <w:rPr>
          <w:color w:val="231F20"/>
        </w:rPr>
        <w:t>produced</w:t>
      </w:r>
      <w:r>
        <w:rPr>
          <w:color w:val="231F20"/>
          <w:spacing w:val="-7"/>
        </w:rPr>
        <w:t> </w:t>
      </w:r>
      <w:r>
        <w:rPr>
          <w:color w:val="231F20"/>
        </w:rPr>
        <w:t>by</w:t>
      </w:r>
      <w:r>
        <w:rPr>
          <w:color w:val="231F20"/>
          <w:spacing w:val="-7"/>
        </w:rPr>
        <w:t> </w:t>
      </w:r>
      <w:r>
        <w:rPr>
          <w:color w:val="231F20"/>
        </w:rPr>
        <w:t>acidic</w:t>
      </w:r>
      <w:r>
        <w:rPr>
          <w:color w:val="231F20"/>
          <w:spacing w:val="-7"/>
        </w:rPr>
        <w:t> </w:t>
      </w:r>
      <w:r>
        <w:rPr>
          <w:color w:val="231F20"/>
        </w:rPr>
        <w:t>magmatic</w:t>
      </w:r>
      <w:r>
        <w:rPr>
          <w:color w:val="231F20"/>
          <w:spacing w:val="-7"/>
        </w:rPr>
        <w:t> </w:t>
      </w:r>
      <w:r>
        <w:rPr>
          <w:color w:val="231F20"/>
        </w:rPr>
        <w:t>volatiles,</w:t>
      </w:r>
      <w:r>
        <w:rPr>
          <w:color w:val="231F20"/>
          <w:spacing w:val="-7"/>
        </w:rPr>
        <w:t> </w:t>
      </w:r>
      <w:r>
        <w:rPr>
          <w:color w:val="231F20"/>
        </w:rPr>
        <w:t>and</w:t>
      </w:r>
      <w:r>
        <w:rPr>
          <w:color w:val="231F20"/>
          <w:spacing w:val="-7"/>
        </w:rPr>
        <w:t> </w:t>
      </w:r>
      <w:r>
        <w:rPr>
          <w:color w:val="231F20"/>
        </w:rPr>
        <w:t>this alteration can lead to distinctive aluminosilicate-rich</w:t>
      </w:r>
      <w:r>
        <w:rPr>
          <w:color w:val="231F20"/>
          <w:spacing w:val="-30"/>
        </w:rPr>
        <w:t> </w:t>
      </w:r>
      <w:r>
        <w:rPr>
          <w:color w:val="231F20"/>
        </w:rPr>
        <w:t>mineral assemblages when metamorphosed to greenschist grade. In the case of the LaRonde deposit, Quebec, “classic” mound- type Zn-Cu-Au massive sulphide lenses are associated with extensive zones of metamorphosed argillic alteration con- taining pyrite-chalcopyrite-bornite-gold stockwork systems. This</w:t>
      </w:r>
      <w:r>
        <w:rPr>
          <w:color w:val="231F20"/>
          <w:spacing w:val="-10"/>
        </w:rPr>
        <w:t> </w:t>
      </w:r>
      <w:r>
        <w:rPr>
          <w:color w:val="231F20"/>
        </w:rPr>
        <w:t>may</w:t>
      </w:r>
      <w:r>
        <w:rPr>
          <w:color w:val="231F20"/>
          <w:spacing w:val="-10"/>
        </w:rPr>
        <w:t> </w:t>
      </w:r>
      <w:r>
        <w:rPr>
          <w:color w:val="231F20"/>
        </w:rPr>
        <w:t>be</w:t>
      </w:r>
      <w:r>
        <w:rPr>
          <w:color w:val="231F20"/>
          <w:spacing w:val="-10"/>
        </w:rPr>
        <w:t> </w:t>
      </w:r>
      <w:r>
        <w:rPr>
          <w:color w:val="231F20"/>
        </w:rPr>
        <w:t>the</w:t>
      </w:r>
      <w:r>
        <w:rPr>
          <w:color w:val="231F20"/>
          <w:spacing w:val="-10"/>
        </w:rPr>
        <w:t> </w:t>
      </w:r>
      <w:r>
        <w:rPr>
          <w:color w:val="231F20"/>
        </w:rPr>
        <w:t>result</w:t>
      </w:r>
      <w:r>
        <w:rPr>
          <w:color w:val="231F20"/>
          <w:spacing w:val="-11"/>
        </w:rPr>
        <w:t> </w:t>
      </w:r>
      <w:r>
        <w:rPr>
          <w:color w:val="231F20"/>
        </w:rPr>
        <w:t>of</w:t>
      </w:r>
      <w:r>
        <w:rPr>
          <w:color w:val="231F20"/>
          <w:spacing w:val="-10"/>
        </w:rPr>
        <w:t> </w:t>
      </w:r>
      <w:r>
        <w:rPr>
          <w:color w:val="231F20"/>
        </w:rPr>
        <w:t>shallow</w:t>
      </w:r>
      <w:r>
        <w:rPr>
          <w:color w:val="231F20"/>
          <w:spacing w:val="-11"/>
        </w:rPr>
        <w:t> </w:t>
      </w:r>
      <w:r>
        <w:rPr>
          <w:color w:val="231F20"/>
        </w:rPr>
        <w:t>subsurface</w:t>
      </w:r>
      <w:r>
        <w:rPr>
          <w:color w:val="231F20"/>
          <w:spacing w:val="-11"/>
        </w:rPr>
        <w:t> </w:t>
      </w:r>
      <w:r>
        <w:rPr>
          <w:color w:val="231F20"/>
        </w:rPr>
        <w:t>boiling</w:t>
      </w:r>
      <w:r>
        <w:rPr>
          <w:color w:val="231F20"/>
          <w:spacing w:val="-10"/>
        </w:rPr>
        <w:t> </w:t>
      </w:r>
      <w:r>
        <w:rPr>
          <w:color w:val="231F20"/>
        </w:rPr>
        <w:t>and</w:t>
      </w:r>
      <w:r>
        <w:rPr>
          <w:color w:val="231F20"/>
          <w:spacing w:val="-10"/>
        </w:rPr>
        <w:t> </w:t>
      </w:r>
      <w:r>
        <w:rPr>
          <w:color w:val="231F20"/>
        </w:rPr>
        <w:t>sep- aration of a volatile-rich fluid or focused input of oxidized magmatic fluids (Dubé et al.,</w:t>
      </w:r>
      <w:r>
        <w:rPr>
          <w:color w:val="231F20"/>
          <w:spacing w:val="20"/>
        </w:rPr>
        <w:t> </w:t>
      </w:r>
      <w:r>
        <w:rPr>
          <w:color w:val="231F20"/>
        </w:rPr>
        <w:t>2004).</w:t>
      </w:r>
    </w:p>
    <w:p>
      <w:pPr>
        <w:pStyle w:val="BodyText"/>
        <w:spacing w:line="230" w:lineRule="auto" w:before="22"/>
        <w:ind w:left="1100" w:firstLine="216"/>
        <w:jc w:val="both"/>
      </w:pPr>
      <w:r>
        <w:rPr>
          <w:color w:val="231F20"/>
        </w:rPr>
        <w:t>In less extreme cases, distal, low-temperature hydrother- mal alteration assemblages associated with VMS deposits may be difficult to distinguish from regional greenschist- facies metamorphic mineral assemblages. When both proxi- mal and regional semiconformable alteration zones are affected by amphibolite-grade regional or contact metamor- phism, the originally strongly hydrated alteration mineral assemblages change into a coarse-grained quartz-phyllosili- cate-aluminosilicate assemblages that are very distinct from the surrounding unaltered strata (Fig. 23). It then becomes</w:t>
      </w:r>
    </w:p>
    <w:p>
      <w:pPr>
        <w:pStyle w:val="BodyText"/>
        <w:spacing w:line="230" w:lineRule="auto" w:before="123"/>
        <w:ind w:left="317" w:right="1092"/>
        <w:jc w:val="both"/>
      </w:pPr>
      <w:r>
        <w:rPr/>
        <w:br w:type="column"/>
      </w:r>
      <w:r>
        <w:rPr>
          <w:color w:val="231F20"/>
        </w:rPr>
        <w:t>possible to use the systematic variations in these coarse- grained metamorphic mineral assemblages as vectors towards the core of the proximal alteration system or upsec- tion towards the paleo-seafloor (Hodges and Manojlovic, 1993).</w:t>
      </w:r>
    </w:p>
    <w:p>
      <w:pPr>
        <w:pStyle w:val="Heading1"/>
        <w:spacing w:before="154"/>
        <w:ind w:left="1532"/>
      </w:pPr>
      <w:r>
        <w:rPr>
          <w:color w:val="231F20"/>
        </w:rPr>
        <w:t>Genetic/Exploration Models</w:t>
      </w:r>
    </w:p>
    <w:p>
      <w:pPr>
        <w:pStyle w:val="BodyText"/>
        <w:spacing w:line="220" w:lineRule="exact" w:before="73"/>
        <w:ind w:left="317" w:right="1094" w:firstLine="216"/>
        <w:jc w:val="both"/>
      </w:pPr>
      <w:r>
        <w:rPr>
          <w:color w:val="231F20"/>
        </w:rPr>
        <w:t>Exploration models for VMS systems have several com- mon themes despite the large variety of submarine environ- ments in which the deposits can form. The generation of a VMS-hosting</w:t>
      </w:r>
      <w:r>
        <w:rPr>
          <w:color w:val="231F20"/>
          <w:spacing w:val="-10"/>
        </w:rPr>
        <w:t> </w:t>
      </w:r>
      <w:r>
        <w:rPr>
          <w:color w:val="231F20"/>
        </w:rPr>
        <w:t>volcanic</w:t>
      </w:r>
      <w:r>
        <w:rPr>
          <w:color w:val="231F20"/>
          <w:spacing w:val="-9"/>
        </w:rPr>
        <w:t> </w:t>
      </w:r>
      <w:r>
        <w:rPr>
          <w:color w:val="231F20"/>
        </w:rPr>
        <w:t>complex</w:t>
      </w:r>
      <w:r>
        <w:rPr>
          <w:color w:val="231F20"/>
          <w:spacing w:val="-9"/>
        </w:rPr>
        <w:t> </w:t>
      </w:r>
      <w:r>
        <w:rPr>
          <w:color w:val="231F20"/>
        </w:rPr>
        <w:t>is</w:t>
      </w:r>
      <w:r>
        <w:rPr>
          <w:color w:val="231F20"/>
          <w:spacing w:val="-9"/>
        </w:rPr>
        <w:t> </w:t>
      </w:r>
      <w:r>
        <w:rPr>
          <w:color w:val="231F20"/>
        </w:rPr>
        <w:t>a</w:t>
      </w:r>
      <w:r>
        <w:rPr>
          <w:color w:val="231F20"/>
          <w:spacing w:val="-9"/>
        </w:rPr>
        <w:t> </w:t>
      </w:r>
      <w:r>
        <w:rPr>
          <w:color w:val="231F20"/>
        </w:rPr>
        <w:t>response</w:t>
      </w:r>
      <w:r>
        <w:rPr>
          <w:color w:val="231F20"/>
          <w:spacing w:val="-9"/>
        </w:rPr>
        <w:t> </w:t>
      </w:r>
      <w:r>
        <w:rPr>
          <w:color w:val="231F20"/>
        </w:rPr>
        <w:t>to</w:t>
      </w:r>
      <w:r>
        <w:rPr>
          <w:color w:val="231F20"/>
          <w:spacing w:val="-9"/>
        </w:rPr>
        <w:t> </w:t>
      </w:r>
      <w:r>
        <w:rPr>
          <w:color w:val="231F20"/>
        </w:rPr>
        <w:t>focused</w:t>
      </w:r>
      <w:r>
        <w:rPr>
          <w:color w:val="231F20"/>
          <w:spacing w:val="-9"/>
        </w:rPr>
        <w:t> </w:t>
      </w:r>
      <w:r>
        <w:rPr>
          <w:color w:val="231F20"/>
        </w:rPr>
        <w:t>heat flow caused by tectonic extension, mantle depressurization, and the resultant formation of high-temperature mantle melts, crustal partial melts, and common bimodal volcanic succession. The large majority of VMS deposits in Canada form in either bimodal mafic or bimodal felsic volcanic ter- ranes</w:t>
      </w:r>
      <w:r>
        <w:rPr>
          <w:color w:val="231F20"/>
          <w:spacing w:val="-8"/>
        </w:rPr>
        <w:t> </w:t>
      </w:r>
      <w:r>
        <w:rPr>
          <w:color w:val="231F20"/>
        </w:rPr>
        <w:t>dominated</w:t>
      </w:r>
      <w:r>
        <w:rPr>
          <w:color w:val="231F20"/>
          <w:spacing w:val="-8"/>
        </w:rPr>
        <w:t> </w:t>
      </w:r>
      <w:r>
        <w:rPr>
          <w:color w:val="231F20"/>
        </w:rPr>
        <w:t>by</w:t>
      </w:r>
      <w:r>
        <w:rPr>
          <w:color w:val="231F20"/>
          <w:spacing w:val="-8"/>
        </w:rPr>
        <w:t> </w:t>
      </w:r>
      <w:r>
        <w:rPr>
          <w:color w:val="231F20"/>
        </w:rPr>
        <w:t>basalt-basaltic</w:t>
      </w:r>
      <w:r>
        <w:rPr>
          <w:color w:val="231F20"/>
          <w:spacing w:val="-8"/>
        </w:rPr>
        <w:t> </w:t>
      </w:r>
      <w:r>
        <w:rPr>
          <w:color w:val="231F20"/>
        </w:rPr>
        <w:t>andesite</w:t>
      </w:r>
      <w:r>
        <w:rPr>
          <w:color w:val="231F20"/>
          <w:spacing w:val="-7"/>
        </w:rPr>
        <w:t> </w:t>
      </w:r>
      <w:r>
        <w:rPr>
          <w:color w:val="231F20"/>
        </w:rPr>
        <w:t>and</w:t>
      </w:r>
      <w:r>
        <w:rPr>
          <w:color w:val="231F20"/>
          <w:spacing w:val="-7"/>
        </w:rPr>
        <w:t> </w:t>
      </w:r>
      <w:r>
        <w:rPr>
          <w:color w:val="231F20"/>
        </w:rPr>
        <w:t>rhyolite-rhy- odacite.</w:t>
      </w:r>
      <w:r>
        <w:rPr>
          <w:color w:val="231F20"/>
          <w:spacing w:val="-9"/>
        </w:rPr>
        <w:t> </w:t>
      </w:r>
      <w:r>
        <w:rPr>
          <w:color w:val="231F20"/>
        </w:rPr>
        <w:t>Prospective</w:t>
      </w:r>
      <w:r>
        <w:rPr>
          <w:color w:val="231F20"/>
          <w:spacing w:val="-12"/>
        </w:rPr>
        <w:t> </w:t>
      </w:r>
      <w:r>
        <w:rPr>
          <w:color w:val="231F20"/>
        </w:rPr>
        <w:t>VMS-hosting</w:t>
      </w:r>
      <w:r>
        <w:rPr>
          <w:color w:val="231F20"/>
          <w:spacing w:val="-9"/>
        </w:rPr>
        <w:t> </w:t>
      </w:r>
      <w:r>
        <w:rPr>
          <w:color w:val="231F20"/>
        </w:rPr>
        <w:t>arc</w:t>
      </w:r>
      <w:r>
        <w:rPr>
          <w:color w:val="231F20"/>
          <w:spacing w:val="-9"/>
        </w:rPr>
        <w:t> </w:t>
      </w:r>
      <w:r>
        <w:rPr>
          <w:color w:val="231F20"/>
        </w:rPr>
        <w:t>terranes</w:t>
      </w:r>
      <w:r>
        <w:rPr>
          <w:color w:val="231F20"/>
          <w:spacing w:val="-9"/>
        </w:rPr>
        <w:t> </w:t>
      </w:r>
      <w:r>
        <w:rPr>
          <w:color w:val="231F20"/>
        </w:rPr>
        <w:t>are</w:t>
      </w:r>
      <w:r>
        <w:rPr>
          <w:color w:val="231F20"/>
          <w:spacing w:val="-9"/>
        </w:rPr>
        <w:t> </w:t>
      </w:r>
      <w:r>
        <w:rPr>
          <w:color w:val="231F20"/>
        </w:rPr>
        <w:t>character- ized</w:t>
      </w:r>
      <w:r>
        <w:rPr>
          <w:color w:val="231F20"/>
          <w:spacing w:val="-7"/>
        </w:rPr>
        <w:t> </w:t>
      </w:r>
      <w:r>
        <w:rPr>
          <w:color w:val="231F20"/>
        </w:rPr>
        <w:t>by</w:t>
      </w:r>
      <w:r>
        <w:rPr>
          <w:color w:val="231F20"/>
          <w:spacing w:val="-7"/>
        </w:rPr>
        <w:t> </w:t>
      </w:r>
      <w:r>
        <w:rPr>
          <w:color w:val="231F20"/>
        </w:rPr>
        <w:t>bimodal</w:t>
      </w:r>
      <w:r>
        <w:rPr>
          <w:color w:val="231F20"/>
          <w:spacing w:val="-7"/>
        </w:rPr>
        <w:t> </w:t>
      </w:r>
      <w:r>
        <w:rPr>
          <w:color w:val="231F20"/>
        </w:rPr>
        <w:t>volcanic</w:t>
      </w:r>
      <w:r>
        <w:rPr>
          <w:color w:val="231F20"/>
          <w:spacing w:val="-7"/>
        </w:rPr>
        <w:t> </w:t>
      </w:r>
      <w:r>
        <w:rPr>
          <w:color w:val="231F20"/>
        </w:rPr>
        <w:t>successions</w:t>
      </w:r>
      <w:r>
        <w:rPr>
          <w:color w:val="231F20"/>
          <w:spacing w:val="-7"/>
        </w:rPr>
        <w:t> </w:t>
      </w:r>
      <w:r>
        <w:rPr>
          <w:color w:val="231F20"/>
        </w:rPr>
        <w:t>that</w:t>
      </w:r>
      <w:r>
        <w:rPr>
          <w:color w:val="231F20"/>
          <w:spacing w:val="-7"/>
        </w:rPr>
        <w:t> </w:t>
      </w:r>
      <w:r>
        <w:rPr>
          <w:color w:val="231F20"/>
        </w:rPr>
        <w:t>have</w:t>
      </w:r>
      <w:r>
        <w:rPr>
          <w:color w:val="231F20"/>
          <w:spacing w:val="-7"/>
        </w:rPr>
        <w:t> </w:t>
      </w:r>
      <w:r>
        <w:rPr>
          <w:color w:val="231F20"/>
        </w:rPr>
        <w:t>a</w:t>
      </w:r>
      <w:r>
        <w:rPr>
          <w:color w:val="231F20"/>
          <w:spacing w:val="-7"/>
        </w:rPr>
        <w:t> </w:t>
      </w:r>
      <w:r>
        <w:rPr>
          <w:color w:val="231F20"/>
        </w:rPr>
        <w:t>tholeiitic</w:t>
      </w:r>
      <w:r>
        <w:rPr>
          <w:color w:val="231F20"/>
          <w:spacing w:val="-7"/>
        </w:rPr>
        <w:t> </w:t>
      </w:r>
      <w:r>
        <w:rPr>
          <w:color w:val="231F20"/>
        </w:rPr>
        <w:t>to transitional tholeiitic-calc alkaline composition. The felsic volcanics are characterized by low Zr/Y (&lt;7) and low (La/Yb)</w:t>
      </w:r>
      <w:r>
        <w:rPr>
          <w:color w:val="231F20"/>
          <w:position w:val="-3"/>
          <w:sz w:val="16"/>
        </w:rPr>
        <w:t>N </w:t>
      </w:r>
      <w:r>
        <w:rPr>
          <w:color w:val="231F20"/>
        </w:rPr>
        <w:t>(&lt;6) ratios, with elevated high field strength ele- ment contents (Zr &gt;200 ppm, Y &gt;30 ppm, and elevated LREE and HREE) typical of high-temperature, reduced magmas derived from partially hydrated crust (Barrie et al., 1993; Barrie, 1995; Lentz, 1998). The lower viscosities of the</w:t>
      </w:r>
      <w:r>
        <w:rPr>
          <w:color w:val="231F20"/>
          <w:spacing w:val="33"/>
        </w:rPr>
        <w:t> </w:t>
      </w:r>
      <w:r>
        <w:rPr>
          <w:color w:val="231F20"/>
        </w:rPr>
        <w:t>high-temperature</w:t>
      </w:r>
      <w:r>
        <w:rPr>
          <w:color w:val="231F20"/>
          <w:spacing w:val="33"/>
        </w:rPr>
        <w:t> </w:t>
      </w:r>
      <w:r>
        <w:rPr>
          <w:color w:val="231F20"/>
        </w:rPr>
        <w:t>felsic</w:t>
      </w:r>
      <w:r>
        <w:rPr>
          <w:color w:val="231F20"/>
          <w:spacing w:val="33"/>
        </w:rPr>
        <w:t> </w:t>
      </w:r>
      <w:r>
        <w:rPr>
          <w:color w:val="231F20"/>
        </w:rPr>
        <w:t>magmas</w:t>
      </w:r>
      <w:r>
        <w:rPr>
          <w:color w:val="231F20"/>
          <w:spacing w:val="33"/>
        </w:rPr>
        <w:t> </w:t>
      </w:r>
      <w:r>
        <w:rPr>
          <w:color w:val="231F20"/>
        </w:rPr>
        <w:t>result</w:t>
      </w:r>
      <w:r>
        <w:rPr>
          <w:color w:val="231F20"/>
          <w:spacing w:val="33"/>
        </w:rPr>
        <w:t> </w:t>
      </w:r>
      <w:r>
        <w:rPr>
          <w:color w:val="231F20"/>
        </w:rPr>
        <w:t>in</w:t>
      </w:r>
      <w:r>
        <w:rPr>
          <w:color w:val="231F20"/>
          <w:spacing w:val="33"/>
        </w:rPr>
        <w:t> </w:t>
      </w:r>
      <w:r>
        <w:rPr>
          <w:color w:val="231F20"/>
        </w:rPr>
        <w:t>rapid</w:t>
      </w:r>
      <w:r>
        <w:rPr>
          <w:color w:val="231F20"/>
          <w:spacing w:val="33"/>
        </w:rPr>
        <w:t> </w:t>
      </w:r>
      <w:r>
        <w:rPr>
          <w:color w:val="231F20"/>
        </w:rPr>
        <w:t>ascent</w:t>
      </w:r>
    </w:p>
    <w:p>
      <w:pPr>
        <w:spacing w:after="0" w:line="220" w:lineRule="exact"/>
        <w:jc w:val="both"/>
        <w:sectPr>
          <w:type w:val="continuous"/>
          <w:pgSz w:w="12240" w:h="15840"/>
          <w:pgMar w:top="920" w:bottom="280" w:left="0" w:right="0"/>
          <w:cols w:num="2" w:equalWidth="0">
            <w:col w:w="5943" w:space="40"/>
            <w:col w:w="6257"/>
          </w:cols>
        </w:sectPr>
      </w:pPr>
    </w:p>
    <w:p>
      <w:pPr>
        <w:pStyle w:val="BodyText"/>
        <w:spacing w:before="9"/>
        <w:rPr>
          <w:sz w:val="19"/>
        </w:rPr>
      </w:pPr>
    </w:p>
    <w:p>
      <w:pPr>
        <w:pStyle w:val="BodyText"/>
        <w:ind w:left="1068" w:right="-18"/>
      </w:pPr>
      <w:r>
        <w:rPr/>
        <w:pict>
          <v:group style="width:242.25pt;height:154.35pt;mso-position-horizontal-relative:char;mso-position-vertical-relative:line" coordorigin="0,0" coordsize="4845,3087">
            <v:shape style="position:absolute;left:7;top:51;width:4834;height:1287" coordorigin="8,52" coordsize="4834,1287" path="m4842,52l8,52,8,1338,54,1338,207,1318,392,1308,583,1304,775,1278,930,1278,1069,1269,1205,1265,1377,1180,1594,1076,1812,993,2024,926,2211,881,2303,879,2515,855,4842,855,4842,52xm4842,1318l4565,1318,4734,1328,4842,1338,4842,1318xm4842,1279l3967,1279,4098,1300,4351,1330,4489,1318,4842,1318,4842,1279xm4842,1023l3025,1023,3177,1134,3346,1166,3461,1282,3637,1230,4842,1230,4842,1023xm4842,1230l3637,1230,3829,1281,3967,1279,4842,1279,4842,1230xm930,1278l775,1278,905,1279,930,1278xm4842,910l2831,910,2904,1032,3025,1023,4842,1023,4842,910xm4842,877l2601,877,2693,917,2831,910,4842,910,4842,877xm4842,855l2515,855,2567,885,2601,877,4842,877,4842,855xe" filled="true" fillcolor="#dbd07a" stroked="false">
              <v:path arrowok="t"/>
              <v:fill type="solid"/>
            </v:shape>
            <v:rect style="position:absolute;left:0;top:0;width:4845;height:3085" filled="true" fillcolor="#d6cc70" stroked="false">
              <v:fill type="solid"/>
            </v:rect>
            <v:shape style="position:absolute;left:1343;top:873;width:2208;height:434" coordorigin="1343,873" coordsize="2208,434" path="m2371,873l1965,994,1635,1203,1420,1243,1343,1307,1895,1307,2256,1283,3492,1283,3307,1211,2993,1074,2647,913,2371,873xm3492,1283l2256,1283,3265,1307,3551,1306,3492,1283xe" filled="true" fillcolor="#d7df23" stroked="false">
              <v:path arrowok="t"/>
              <v:fill type="solid"/>
            </v:shape>
            <v:shape style="position:absolute;left:2908;top:1321;width:1288;height:1755" coordorigin="2908,1321" coordsize="1288,1755" path="m3870,1321l3591,1324,3514,1330,3346,1578,3253,1731,3153,1943,3085,2156,3038,2345,2977,2628,2908,3076,2997,2958,3069,2710,3115,2592,3161,2486,3296,2297,3364,2167,3435,2053,3539,1885,3653,1743,3775,1649,3964,1544,4044,1519,4105,1508,4159,1496,4177,1478,4196,1417,4182,1351,4180,1324,4143,1324,3870,1321xe" filled="true" fillcolor="#c6b2c3" stroked="false">
              <v:path arrowok="t"/>
              <v:fill type="solid"/>
            </v:shape>
            <v:shape style="position:absolute;left:2908;top:1322;width:1935;height:1763" coordorigin="2908,1323" coordsize="1935,1763" path="m4174,1326l4182,1378,4182,1425,4167,1485,4113,1497,4047,1515,3952,1543,3775,1650,3706,1686,3652,1733,3637,1745,3491,1935,3399,2053,3330,2172,3169,2480,3153,2504,3123,2575,3069,2717,2954,2966,2908,3085,4843,3083,4842,1330,4717,1327,4435,1327,4174,1326xm4530,1323l4435,1327,4717,1327,4530,1323xe" filled="true" fillcolor="#fff9ae" stroked="false">
              <v:path arrowok="t"/>
              <v:fill type="solid"/>
            </v:shape>
            <v:shape style="position:absolute;left:10;top:1324;width:1955;height:1763" coordorigin="10,1324" coordsize="1955,1763" path="m592,1324l377,1324,12,1327,10,3086,1965,3085,1957,3072,1911,2913,1843,2717,1751,2496,1705,2410,1644,2288,1491,2042,1407,1932,1163,1686,1095,1625,1033,1588,903,1551,644,1551,614,1539,591,1526,560,1478,553,1428,575,1367,592,1324xm858,1539l820,1539,644,1551,903,1551,858,1539xe" filled="true" fillcolor="#fff9ae" stroked="false">
              <v:path arrowok="t"/>
              <v:fill type="solid"/>
            </v:shape>
            <v:shape style="position:absolute;left:575;top:778;width:3914;height:544" coordorigin="575,779" coordsize="3914,544" path="m1343,1305l1075,1305,1120,1314,1182,1322,1235,1314,1320,1314,1343,1305xm2988,904l2478,904,2624,921,2685,946,2870,1013,2947,1063,3069,1146,3123,1171,3246,1204,3399,1271,3453,1296,3591,1305,3883,1305,4090,1313,4243,1321,4489,1321,4396,1305,4243,1296,4067,1279,3967,1263,3614,1196,3530,1163,3422,1129,3291,1071,3192,1021,3054,938,2988,904xm769,1273l727,1279,676,1288,575,1304,714,1305,843,1313,998,1307,1075,1305,1343,1305,1389,1288,1420,1288,1504,1279,1512,1277,751,1277,769,1273xm2478,779l2401,779,2279,787,2179,796,2003,837,1919,871,1773,938,1604,1029,1458,1104,1328,1163,1266,1187,1144,1221,751,1277,1512,1277,1611,1246,1681,1221,1757,1179,1872,1079,2010,987,2110,954,2256,921,2394,904,2988,904,2924,871,2793,829,2709,812,2578,787,2478,779xe" filled="true" fillcolor="#c6b2c3" stroked="false">
              <v:path arrowok="t"/>
              <v:fill type="solid"/>
            </v:shape>
            <v:shape style="position:absolute;left:2596;top:1322;width:943;height:1763" coordorigin="2597,1323" coordsize="943,1763" path="m3126,1323l3066,1330,2940,1567,2908,1615,2869,1757,2821,1970,2766,2219,2711,2504,2609,3061,2597,3085,2908,3085,2971,2705,3019,2469,3090,2184,3168,1935,3270,1722,3380,1543,3539,1324,3126,1323xe" filled="true" fillcolor="#ffcb04" stroked="false">
              <v:path arrowok="t"/>
              <v:fill type="solid"/>
            </v:shape>
            <v:shape style="position:absolute;left:544;top:1327;width:1458;height:1760" coordorigin="545,1327" coordsize="1458,1760" path="m1435,1546l745,1546,846,1554,924,1564,996,1578,1090,1624,1159,1684,1266,1794,1351,1880,1473,2026,1519,2087,1642,2283,1704,2404,1742,2491,1803,2624,1888,2844,1960,3087,2003,3083,1949,2820,1903,2637,1819,2368,1688,2014,1627,1880,1497,1635,1435,1546xm978,1327l570,1327,568,1355,545,1414,545,1452,560,1502,583,1538,629,1550,745,1546,1435,1546,1404,1502,1228,1330,978,1327xe" filled="true" fillcolor="#c6b2c3" stroked="false">
              <v:path arrowok="t"/>
              <v:fill type="solid"/>
            </v:shape>
            <v:shape style="position:absolute;left:1060;top:1304;width:1188;height:1781" coordorigin="1060,1304" coordsize="1188,1781" path="m1931,1304l1060,1304,1236,1450,1347,1559,1505,1789,1598,1958,1783,2345,1867,2575,1960,2878,1996,3084,2247,3085,2210,2890,2191,2732,2163,2514,2136,2333,2108,2103,2070,1849,2043,1680,2024,1607,1996,1378,1978,1317,1931,1304xe" filled="true" fillcolor="#ffcb04" stroked="false">
              <v:path arrowok="t"/>
              <v:fill type="solid"/>
            </v:shape>
            <v:shape style="position:absolute;left:2005;top:1292;width:1080;height:1794" coordorigin="2005,1293" coordsize="1080,1794" path="m2999,1292l2672,1311,2286,1397,2005,1498,2017,1570,2023,1666,2055,1886,2080,2119,2105,2326,2129,2522,2154,2754,2195,3086,2631,3085,2631,3072,2672,2840,2738,2497,2820,2094,2919,1641,2960,1568,3085,1303,2999,1292xe" filled="true" fillcolor="#faa74a" stroked="false">
              <v:path arrowok="t"/>
              <v:fill type="solid"/>
            </v:shape>
            <v:shape style="position:absolute;left:2015;top:1312;width:1085;height:637" coordorigin="2015,1312" coordsize="1085,637" path="m2867,1312l2445,1373,2015,1484,2067,1949,2376,1906,2626,1829,2996,1484,3099,1329,2867,1312xe" filled="true" fillcolor="#f1964b" stroked="false">
              <v:path arrowok="t"/>
              <v:fill type="solid"/>
            </v:shape>
            <v:line style="position:absolute" from="2,1317" to="4845,1317" stroked="true" strokeweight="1.29pt" strokecolor="#f5821f">
              <v:stroke dashstyle="solid"/>
            </v:line>
            <v:shape style="position:absolute;left:1877;top:1241;width:1211;height:269" coordorigin="1877,1242" coordsize="1211,269" path="m2868,1321l1963,1321,1978,1341,1978,1351,1986,1371,1994,1391,1994,1431,2002,1451,2002,1500,2010,1500,2010,1510,2033,1490,2049,1480,2080,1470,2104,1461,2142,1451,2213,1431,2267,1411,2298,1401,2329,1401,2407,1381,2501,1371,2579,1351,2618,1351,2665,1341,2719,1341,2774,1331,2828,1331,2868,1321xm2080,1252l1971,1252,1955,1262,1932,1272,1916,1282,1901,1291,1885,1301,1877,1311,1948,1311,1955,1321,2953,1321,2963,1323,2987,1326,3015,1323,3088,1311,3000,1291,2976,1288,2954,1284,2951,1282,2365,1282,2189,1282,2150,1272,2134,1272,2119,1262,2096,1262,2080,1252xm2906,1274l2890,1276,2879,1277,2852,1278,2836,1282,2365,1282,2951,1282,2942,1277,2931,1277,2906,1274xm2941,1277l2931,1277,2942,1277,2941,1277xm2033,1242l2002,1242,1986,1252,2041,1252,2033,1242xe" filled="true" fillcolor="#ed1c24" stroked="false">
              <v:path arrowok="t"/>
              <v:fill type="solid"/>
            </v:shape>
            <v:line style="position:absolute" from="1172,650" to="1686,650" stroked="true" strokeweight="1.136pt" strokecolor="#231f20">
              <v:stroke dashstyle="solid"/>
            </v:line>
            <v:shape style="position:absolute;left:1606;top:580;width:555;height:140" type="#_x0000_t75" stroked="false">
              <v:imagedata r:id="rId233" o:title=""/>
            </v:shape>
            <v:shape style="position:absolute;left:2737;top:581;width:336;height:137" type="#_x0000_t75" stroked="false">
              <v:imagedata r:id="rId234" o:title=""/>
            </v:shape>
            <v:shape style="position:absolute;left:3150;top:581;width:159;height:137" type="#_x0000_t75" stroked="false">
              <v:imagedata r:id="rId235" o:title=""/>
            </v:shape>
            <v:line style="position:absolute" from="515,650" to="90,650" stroked="true" strokeweight="1.136pt" strokecolor="#231f20">
              <v:stroke dashstyle="solid"/>
            </v:line>
            <v:shape style="position:absolute;left:10;top:581;width:159;height:137" type="#_x0000_t75" stroked="false">
              <v:imagedata r:id="rId236" o:title=""/>
            </v:shape>
            <v:shape style="position:absolute;left:4389;top:581;width:448;height:137" type="#_x0000_t75" stroked="false">
              <v:imagedata r:id="rId237" o:title=""/>
            </v:shape>
            <v:shape style="position:absolute;left:2144;top:2090;width:639;height:732" type="#_x0000_t202" filled="false" stroked="false">
              <v:textbox inset="0,0,0,0">
                <w:txbxContent>
                  <w:p>
                    <w:pPr>
                      <w:spacing w:line="230" w:lineRule="auto" w:before="0"/>
                      <w:ind w:left="0" w:right="18" w:firstLine="133"/>
                      <w:jc w:val="left"/>
                      <w:rPr>
                        <w:rFonts w:ascii="Arial" w:hAnsi="Arial"/>
                        <w:b/>
                        <w:sz w:val="11"/>
                      </w:rPr>
                    </w:pPr>
                    <w:r>
                      <w:rPr>
                        <w:rFonts w:ascii="Arial" w:hAnsi="Arial"/>
                        <w:b/>
                        <w:color w:val="231F20"/>
                        <w:sz w:val="11"/>
                      </w:rPr>
                      <w:t>Zone 2 </w:t>
                    </w:r>
                    <w:r>
                      <w:rPr>
                        <w:rFonts w:ascii="Arial" w:hAnsi="Arial"/>
                        <w:b/>
                        <w:color w:val="231F20"/>
                        <w:w w:val="95"/>
                        <w:sz w:val="11"/>
                      </w:rPr>
                      <w:t>Fe-chlorite±</w:t>
                    </w:r>
                  </w:p>
                  <w:p>
                    <w:pPr>
                      <w:spacing w:line="230" w:lineRule="auto" w:before="1"/>
                      <w:ind w:left="66" w:right="84" w:hanging="1"/>
                      <w:jc w:val="center"/>
                      <w:rPr>
                        <w:rFonts w:ascii="Arial"/>
                        <w:b/>
                        <w:sz w:val="11"/>
                      </w:rPr>
                    </w:pPr>
                    <w:r>
                      <w:rPr>
                        <w:rFonts w:ascii="Arial"/>
                        <w:b/>
                        <w:color w:val="231F20"/>
                        <w:sz w:val="11"/>
                      </w:rPr>
                      <w:t>sericite (sulphide stringer zone)</w:t>
                    </w:r>
                  </w:p>
                </w:txbxContent>
              </v:textbox>
              <w10:wrap type="none"/>
            </v:shape>
            <v:shape style="position:absolute;left:245;top:2552;width:1263;height:275" type="#_x0000_t202" filled="false" stroked="false">
              <v:textbox inset="0,0,0,0">
                <w:txbxContent>
                  <w:p>
                    <w:pPr>
                      <w:spacing w:before="0"/>
                      <w:ind w:left="0" w:right="0" w:firstLine="67"/>
                      <w:jc w:val="left"/>
                      <w:rPr>
                        <w:rFonts w:ascii="Arial"/>
                        <w:b/>
                        <w:sz w:val="12"/>
                      </w:rPr>
                    </w:pPr>
                    <w:r>
                      <w:rPr>
                        <w:rFonts w:ascii="Arial"/>
                        <w:b/>
                        <w:color w:val="231F20"/>
                        <w:sz w:val="12"/>
                      </w:rPr>
                      <w:t>Felsic Pyroclastics (Nepisiguit Falls Fm.)</w:t>
                    </w:r>
                  </w:p>
                </w:txbxContent>
              </v:textbox>
              <w10:wrap type="none"/>
            </v:shape>
            <v:shape style="position:absolute;left:3021;top:1368;width:1013;height:366" type="#_x0000_t202" filled="false" stroked="false">
              <v:textbox inset="0,0,0,0">
                <w:txbxContent>
                  <w:p>
                    <w:pPr>
                      <w:spacing w:line="120" w:lineRule="exact" w:before="0"/>
                      <w:ind w:left="347" w:right="0" w:firstLine="0"/>
                      <w:jc w:val="center"/>
                      <w:rPr>
                        <w:rFonts w:ascii="Arial"/>
                        <w:b/>
                        <w:sz w:val="11"/>
                      </w:rPr>
                    </w:pPr>
                    <w:r>
                      <w:rPr>
                        <w:rFonts w:ascii="Arial"/>
                        <w:b/>
                        <w:color w:val="231F20"/>
                        <w:sz w:val="11"/>
                      </w:rPr>
                      <w:t>Zone 4</w:t>
                    </w:r>
                  </w:p>
                  <w:p>
                    <w:pPr>
                      <w:spacing w:line="122" w:lineRule="exact" w:before="0"/>
                      <w:ind w:left="0" w:right="0" w:firstLine="0"/>
                      <w:jc w:val="left"/>
                      <w:rPr>
                        <w:rFonts w:ascii="Arial"/>
                        <w:b/>
                        <w:sz w:val="11"/>
                      </w:rPr>
                    </w:pPr>
                    <w:r>
                      <w:rPr>
                        <w:rFonts w:ascii="Arial"/>
                        <w:color w:val="231F20"/>
                        <w:sz w:val="11"/>
                      </w:rPr>
                      <w:t>Zone 3 </w:t>
                    </w:r>
                    <w:r>
                      <w:rPr>
                        <w:rFonts w:ascii="Arial"/>
                        <w:b/>
                        <w:color w:val="231F20"/>
                        <w:sz w:val="11"/>
                      </w:rPr>
                      <w:t>(Phengite+</w:t>
                    </w:r>
                  </w:p>
                  <w:p>
                    <w:pPr>
                      <w:spacing w:line="124" w:lineRule="exact" w:before="0"/>
                      <w:ind w:left="347" w:right="0" w:firstLine="0"/>
                      <w:jc w:val="center"/>
                      <w:rPr>
                        <w:rFonts w:ascii="Arial"/>
                        <w:b/>
                        <w:sz w:val="11"/>
                      </w:rPr>
                    </w:pPr>
                    <w:r>
                      <w:rPr>
                        <w:rFonts w:ascii="Arial"/>
                        <w:b/>
                        <w:color w:val="231F20"/>
                        <w:sz w:val="11"/>
                      </w:rPr>
                      <w:t>Mg-chlorite)</w:t>
                    </w:r>
                  </w:p>
                </w:txbxContent>
              </v:textbox>
              <w10:wrap type="none"/>
            </v:shape>
            <v:shape style="position:absolute;left:2104;top:1428;width:615;height:366" type="#_x0000_t202" filled="false" stroked="false">
              <v:textbox inset="0,0,0,0">
                <w:txbxContent>
                  <w:p>
                    <w:pPr>
                      <w:spacing w:line="230" w:lineRule="auto" w:before="0"/>
                      <w:ind w:left="0" w:right="18" w:hanging="1"/>
                      <w:jc w:val="center"/>
                      <w:rPr>
                        <w:rFonts w:ascii="Arial"/>
                        <w:b/>
                        <w:sz w:val="11"/>
                      </w:rPr>
                    </w:pPr>
                    <w:r>
                      <w:rPr>
                        <w:rFonts w:ascii="Arial"/>
                        <w:b/>
                        <w:color w:val="231F20"/>
                        <w:sz w:val="11"/>
                      </w:rPr>
                      <w:t>Zone 1 (Quartz+ </w:t>
                    </w:r>
                    <w:r>
                      <w:rPr>
                        <w:rFonts w:ascii="Arial"/>
                        <w:b/>
                        <w:color w:val="231F20"/>
                        <w:w w:val="95"/>
                        <w:sz w:val="11"/>
                      </w:rPr>
                      <w:t>Fe-chlorite)</w:t>
                    </w:r>
                  </w:p>
                </w:txbxContent>
              </v:textbox>
              <w10:wrap type="none"/>
            </v:shape>
            <v:shape style="position:absolute;left:1175;top:1473;width:873;height:244" type="#_x0000_t202" filled="false" stroked="false">
              <v:textbox inset="0,0,0,0">
                <w:txbxContent>
                  <w:p>
                    <w:pPr>
                      <w:spacing w:line="230" w:lineRule="auto" w:before="0"/>
                      <w:ind w:left="216" w:right="0" w:hanging="217"/>
                      <w:jc w:val="left"/>
                      <w:rPr>
                        <w:rFonts w:ascii="Arial"/>
                        <w:b/>
                        <w:sz w:val="11"/>
                      </w:rPr>
                    </w:pPr>
                    <w:r>
                      <w:rPr>
                        <w:rFonts w:ascii="Arial"/>
                        <w:b/>
                        <w:color w:val="231F20"/>
                        <w:w w:val="95"/>
                        <w:sz w:val="11"/>
                      </w:rPr>
                      <w:t>(Fe-Mg-chlorite+ </w:t>
                    </w:r>
                    <w:r>
                      <w:rPr>
                        <w:rFonts w:ascii="Arial"/>
                        <w:b/>
                        <w:color w:val="231F20"/>
                        <w:sz w:val="11"/>
                      </w:rPr>
                      <w:t>sericite)</w:t>
                    </w:r>
                  </w:p>
                </w:txbxContent>
              </v:textbox>
              <w10:wrap type="none"/>
            </v:shape>
            <v:shape style="position:absolute;left:1980;top:1278;width:663;height:115" type="#_x0000_t202" filled="false" stroked="false">
              <v:textbox inset="0,0,0,0">
                <w:txbxContent>
                  <w:p>
                    <w:pPr>
                      <w:spacing w:line="114" w:lineRule="exact" w:before="0"/>
                      <w:ind w:left="0" w:right="0" w:firstLine="0"/>
                      <w:jc w:val="left"/>
                      <w:rPr>
                        <w:rFonts w:ascii="Arial"/>
                        <w:sz w:val="10"/>
                      </w:rPr>
                    </w:pPr>
                    <w:r>
                      <w:rPr>
                        <w:rFonts w:ascii="Arial"/>
                        <w:color w:val="231F20"/>
                        <w:sz w:val="10"/>
                      </w:rPr>
                      <w:t>Sulphide Zone</w:t>
                    </w:r>
                  </w:p>
                </w:txbxContent>
              </v:textbox>
              <w10:wrap type="none"/>
            </v:shape>
            <v:shape style="position:absolute;left:1426;top:1351;width:373;height:122" type="#_x0000_t202" filled="false" stroked="false">
              <v:textbox inset="0,0,0,0">
                <w:txbxContent>
                  <w:p>
                    <w:pPr>
                      <w:spacing w:line="122" w:lineRule="exact" w:before="0"/>
                      <w:ind w:left="0" w:right="0" w:firstLine="0"/>
                      <w:jc w:val="left"/>
                      <w:rPr>
                        <w:rFonts w:ascii="Arial"/>
                        <w:b/>
                        <w:sz w:val="11"/>
                      </w:rPr>
                    </w:pPr>
                    <w:r>
                      <w:rPr>
                        <w:rFonts w:ascii="Arial"/>
                        <w:b/>
                        <w:color w:val="231F20"/>
                        <w:sz w:val="11"/>
                      </w:rPr>
                      <w:t>Zone 3</w:t>
                    </w:r>
                  </w:p>
                </w:txbxContent>
              </v:textbox>
              <w10:wrap type="none"/>
            </v:shape>
            <v:shape style="position:absolute;left:2164;top:929;width:582;height:366" type="#_x0000_t202" filled="false" stroked="false">
              <v:textbox inset="0,0,0,0">
                <w:txbxContent>
                  <w:p>
                    <w:pPr>
                      <w:spacing w:line="230" w:lineRule="auto" w:before="0"/>
                      <w:ind w:left="0" w:right="18" w:firstLine="0"/>
                      <w:jc w:val="center"/>
                      <w:rPr>
                        <w:rFonts w:ascii="Arial"/>
                        <w:b/>
                        <w:sz w:val="11"/>
                      </w:rPr>
                    </w:pPr>
                    <w:r>
                      <w:rPr>
                        <w:rFonts w:ascii="Arial"/>
                        <w:b/>
                        <w:color w:val="231F20"/>
                        <w:sz w:val="11"/>
                      </w:rPr>
                      <w:t>Zone 3 </w:t>
                    </w:r>
                    <w:r>
                      <w:rPr>
                        <w:rFonts w:ascii="Arial"/>
                        <w:b/>
                        <w:color w:val="231F20"/>
                        <w:w w:val="95"/>
                        <w:sz w:val="11"/>
                      </w:rPr>
                      <w:t>(Phengite+ </w:t>
                    </w:r>
                    <w:r>
                      <w:rPr>
                        <w:rFonts w:ascii="Arial"/>
                        <w:b/>
                        <w:color w:val="231F20"/>
                        <w:sz w:val="11"/>
                      </w:rPr>
                      <w:t>chlorite)</w:t>
                    </w:r>
                  </w:p>
                </w:txbxContent>
              </v:textbox>
              <w10:wrap type="none"/>
            </v:shape>
            <v:shape style="position:absolute;left:3860;top:592;width:368;height:127" type="#_x0000_t202" filled="false" stroked="false">
              <v:textbox inset="0,0,0,0">
                <w:txbxContent>
                  <w:p>
                    <w:pPr>
                      <w:spacing w:line="126" w:lineRule="exact" w:before="0"/>
                      <w:ind w:left="0" w:right="0" w:firstLine="0"/>
                      <w:jc w:val="left"/>
                      <w:rPr>
                        <w:rFonts w:ascii="Arial"/>
                        <w:sz w:val="11"/>
                      </w:rPr>
                    </w:pPr>
                    <w:r>
                      <w:rPr>
                        <w:rFonts w:ascii="Arial"/>
                        <w:color w:val="231F20"/>
                        <w:w w:val="105"/>
                        <w:sz w:val="11"/>
                      </w:rPr>
                      <w:t>3-5 km</w:t>
                    </w:r>
                  </w:p>
                </w:txbxContent>
              </v:textbox>
              <w10:wrap type="none"/>
            </v:shape>
            <v:shape style="position:absolute;left:3230;top:389;width:508;height:263" type="#_x0000_t202" filled="false" stroked="false">
              <v:textbox inset="0,0,0,0">
                <w:txbxContent>
                  <w:p>
                    <w:pPr>
                      <w:tabs>
                        <w:tab w:pos="487" w:val="left" w:leader="none"/>
                      </w:tabs>
                      <w:spacing w:before="14"/>
                      <w:ind w:left="0" w:right="0" w:firstLine="0"/>
                      <w:jc w:val="left"/>
                      <w:rPr>
                        <w:sz w:val="20"/>
                      </w:rPr>
                    </w:pPr>
                    <w:r>
                      <w:rPr>
                        <w:color w:val="231F20"/>
                        <w:sz w:val="20"/>
                        <w:u w:val="thick" w:color="231F20"/>
                      </w:rPr>
                      <w:t> </w:t>
                      <w:tab/>
                    </w:r>
                  </w:p>
                </w:txbxContent>
              </v:textbox>
              <w10:wrap type="none"/>
            </v:shape>
            <v:shape style="position:absolute;left:2268;top:598;width:368;height:127" type="#_x0000_t202" filled="false" stroked="false">
              <v:textbox inset="0,0,0,0">
                <w:txbxContent>
                  <w:p>
                    <w:pPr>
                      <w:spacing w:line="126" w:lineRule="exact" w:before="0"/>
                      <w:ind w:left="0" w:right="0" w:firstLine="0"/>
                      <w:jc w:val="left"/>
                      <w:rPr>
                        <w:rFonts w:ascii="Arial"/>
                        <w:sz w:val="11"/>
                      </w:rPr>
                    </w:pPr>
                    <w:r>
                      <w:rPr>
                        <w:rFonts w:ascii="Arial"/>
                        <w:color w:val="231F20"/>
                        <w:w w:val="105"/>
                        <w:sz w:val="11"/>
                      </w:rPr>
                      <w:t>1-3 km</w:t>
                    </w:r>
                  </w:p>
                </w:txbxContent>
              </v:textbox>
              <w10:wrap type="none"/>
            </v:shape>
            <v:shape style="position:absolute;left:677;top:610;width:368;height:127" type="#_x0000_t202" filled="false" stroked="false">
              <v:textbox inset="0,0,0,0">
                <w:txbxContent>
                  <w:p>
                    <w:pPr>
                      <w:spacing w:line="126" w:lineRule="exact" w:before="0"/>
                      <w:ind w:left="0" w:right="0" w:firstLine="0"/>
                      <w:jc w:val="left"/>
                      <w:rPr>
                        <w:rFonts w:ascii="Arial"/>
                        <w:sz w:val="11"/>
                      </w:rPr>
                    </w:pPr>
                    <w:r>
                      <w:rPr>
                        <w:rFonts w:ascii="Arial"/>
                        <w:color w:val="231F20"/>
                        <w:w w:val="105"/>
                        <w:sz w:val="11"/>
                      </w:rPr>
                      <w:t>3-5 km</w:t>
                    </w:r>
                  </w:p>
                </w:txbxContent>
              </v:textbox>
              <w10:wrap type="none"/>
            </v:shape>
            <v:shape style="position:absolute;left:255;top:73;width:1475;height:275" type="#_x0000_t202" filled="false" stroked="false">
              <v:textbox inset="0,0,0,0">
                <w:txbxContent>
                  <w:p>
                    <w:pPr>
                      <w:spacing w:before="0"/>
                      <w:ind w:left="0" w:right="18" w:firstLine="253"/>
                      <w:jc w:val="left"/>
                      <w:rPr>
                        <w:rFonts w:ascii="Arial"/>
                        <w:b/>
                        <w:sz w:val="12"/>
                      </w:rPr>
                    </w:pPr>
                    <w:r>
                      <w:rPr>
                        <w:rFonts w:ascii="Arial"/>
                        <w:b/>
                        <w:color w:val="231F20"/>
                        <w:sz w:val="12"/>
                      </w:rPr>
                      <w:t>Felsic Volcanics (Flat Landing Brook</w:t>
                    </w:r>
                    <w:r>
                      <w:rPr>
                        <w:rFonts w:ascii="Arial"/>
                        <w:b/>
                        <w:color w:val="231F20"/>
                        <w:spacing w:val="22"/>
                        <w:sz w:val="12"/>
                      </w:rPr>
                      <w:t> </w:t>
                    </w:r>
                    <w:r>
                      <w:rPr>
                        <w:rFonts w:ascii="Arial"/>
                        <w:b/>
                        <w:color w:val="231F20"/>
                        <w:sz w:val="12"/>
                      </w:rPr>
                      <w:t>Fm.)</w:t>
                    </w:r>
                  </w:p>
                </w:txbxContent>
              </v:textbox>
              <w10:wrap type="none"/>
            </v:shape>
          </v:group>
        </w:pict>
      </w:r>
      <w:r>
        <w:rPr/>
      </w:r>
    </w:p>
    <w:p>
      <w:pPr>
        <w:pStyle w:val="BodyText"/>
        <w:spacing w:before="4"/>
        <w:rPr>
          <w:sz w:val="6"/>
        </w:rPr>
      </w:pPr>
    </w:p>
    <w:p>
      <w:pPr>
        <w:pStyle w:val="BodyText"/>
        <w:ind w:left="1080" w:right="-45"/>
      </w:pPr>
      <w:r>
        <w:rPr/>
        <w:pict>
          <v:group style="width:243pt;height:46.35pt;mso-position-horizontal-relative:char;mso-position-vertical-relative:line" coordorigin="0,0" coordsize="4860,927">
            <v:rect style="position:absolute;left:0;top:33;width:4860;height:893" filled="true" fillcolor="#ffffff" stroked="false">
              <v:fill type="solid"/>
            </v:rect>
            <v:shape style="position:absolute;left:0;top:0;width:4860;height:927" type="#_x0000_t202" filled="false" stroked="false">
              <v:textbox inset="0,0,0,0">
                <w:txbxContent>
                  <w:p>
                    <w:pPr>
                      <w:spacing w:line="230" w:lineRule="auto" w:before="20"/>
                      <w:ind w:left="20" w:right="15" w:hanging="1"/>
                      <w:jc w:val="both"/>
                      <w:rPr>
                        <w:sz w:val="16"/>
                      </w:rPr>
                    </w:pPr>
                    <w:r>
                      <w:rPr>
                        <w:b/>
                        <w:color w:val="231F20"/>
                        <w:sz w:val="16"/>
                      </w:rPr>
                      <w:t>F</w:t>
                    </w:r>
                    <w:r>
                      <w:rPr>
                        <w:b/>
                        <w:color w:val="231F20"/>
                        <w:sz w:val="16"/>
                        <w:vertAlign w:val="subscript"/>
                      </w:rPr>
                      <w:t>IGURE</w:t>
                    </w:r>
                    <w:r>
                      <w:rPr>
                        <w:b/>
                        <w:color w:val="231F20"/>
                        <w:sz w:val="16"/>
                        <w:vertAlign w:val="baseline"/>
                      </w:rPr>
                      <w:t> 22. </w:t>
                    </w:r>
                    <w:r>
                      <w:rPr>
                        <w:color w:val="231F20"/>
                        <w:sz w:val="16"/>
                        <w:vertAlign w:val="baseline"/>
                      </w:rPr>
                      <w:t>A schematic composite section through a VMS alteration sys- tem in the Bathurst mining camp as an example of a VMS proximal alter- ation</w:t>
                    </w:r>
                    <w:r>
                      <w:rPr>
                        <w:color w:val="231F20"/>
                        <w:spacing w:val="-6"/>
                        <w:sz w:val="16"/>
                        <w:vertAlign w:val="baseline"/>
                      </w:rPr>
                      <w:t> </w:t>
                    </w:r>
                    <w:r>
                      <w:rPr>
                        <w:color w:val="231F20"/>
                        <w:sz w:val="16"/>
                        <w:vertAlign w:val="baseline"/>
                      </w:rPr>
                      <w:t>zone</w:t>
                    </w:r>
                    <w:r>
                      <w:rPr>
                        <w:color w:val="231F20"/>
                        <w:spacing w:val="-6"/>
                        <w:sz w:val="16"/>
                        <w:vertAlign w:val="baseline"/>
                      </w:rPr>
                      <w:t> </w:t>
                    </w:r>
                    <w:r>
                      <w:rPr>
                        <w:color w:val="231F20"/>
                        <w:sz w:val="16"/>
                        <w:vertAlign w:val="baseline"/>
                      </w:rPr>
                      <w:t>metamorphosed</w:t>
                    </w:r>
                    <w:r>
                      <w:rPr>
                        <w:color w:val="231F20"/>
                        <w:spacing w:val="-6"/>
                        <w:sz w:val="16"/>
                        <w:vertAlign w:val="baseline"/>
                      </w:rPr>
                      <w:t> </w:t>
                    </w:r>
                    <w:r>
                      <w:rPr>
                        <w:color w:val="231F20"/>
                        <w:sz w:val="16"/>
                        <w:vertAlign w:val="baseline"/>
                      </w:rPr>
                      <w:t>to</w:t>
                    </w:r>
                    <w:r>
                      <w:rPr>
                        <w:color w:val="231F20"/>
                        <w:spacing w:val="-6"/>
                        <w:sz w:val="16"/>
                        <w:vertAlign w:val="baseline"/>
                      </w:rPr>
                      <w:t> </w:t>
                    </w:r>
                    <w:r>
                      <w:rPr>
                        <w:color w:val="231F20"/>
                        <w:sz w:val="16"/>
                        <w:vertAlign w:val="baseline"/>
                      </w:rPr>
                      <w:t>greenschist-grade</w:t>
                    </w:r>
                    <w:r>
                      <w:rPr>
                        <w:color w:val="231F20"/>
                        <w:spacing w:val="-6"/>
                        <w:sz w:val="16"/>
                        <w:vertAlign w:val="baseline"/>
                      </w:rPr>
                      <w:t> </w:t>
                    </w:r>
                    <w:r>
                      <w:rPr>
                        <w:color w:val="231F20"/>
                        <w:sz w:val="16"/>
                        <w:vertAlign w:val="baseline"/>
                      </w:rPr>
                      <w:t>mineral</w:t>
                    </w:r>
                    <w:r>
                      <w:rPr>
                        <w:color w:val="231F20"/>
                        <w:spacing w:val="-6"/>
                        <w:sz w:val="16"/>
                        <w:vertAlign w:val="baseline"/>
                      </w:rPr>
                      <w:t> </w:t>
                    </w:r>
                    <w:r>
                      <w:rPr>
                        <w:color w:val="231F20"/>
                        <w:sz w:val="16"/>
                        <w:vertAlign w:val="baseline"/>
                      </w:rPr>
                      <w:t>assemblages.</w:t>
                    </w:r>
                    <w:r>
                      <w:rPr>
                        <w:color w:val="231F20"/>
                        <w:spacing w:val="-6"/>
                        <w:sz w:val="16"/>
                        <w:vertAlign w:val="baseline"/>
                      </w:rPr>
                      <w:t> </w:t>
                    </w:r>
                    <w:r>
                      <w:rPr>
                        <w:color w:val="231F20"/>
                        <w:sz w:val="16"/>
                        <w:vertAlign w:val="baseline"/>
                      </w:rPr>
                      <w:t>From Goodfellow et al.</w:t>
                    </w:r>
                    <w:r>
                      <w:rPr>
                        <w:color w:val="231F20"/>
                        <w:spacing w:val="10"/>
                        <w:sz w:val="16"/>
                        <w:vertAlign w:val="baseline"/>
                      </w:rPr>
                      <w:t> </w:t>
                    </w:r>
                    <w:r>
                      <w:rPr>
                        <w:color w:val="231F20"/>
                        <w:sz w:val="16"/>
                        <w:vertAlign w:val="baseline"/>
                      </w:rPr>
                      <w:t>(2003).</w:t>
                    </w:r>
                  </w:p>
                </w:txbxContent>
              </v:textbox>
              <w10:wrap type="none"/>
            </v:shape>
          </v:group>
        </w:pict>
      </w:r>
      <w:r>
        <w:rPr/>
      </w:r>
    </w:p>
    <w:p>
      <w:pPr>
        <w:pStyle w:val="BodyText"/>
        <w:spacing w:line="230" w:lineRule="auto"/>
        <w:ind w:left="1115" w:right="1"/>
        <w:jc w:val="both"/>
      </w:pPr>
      <w:r>
        <w:rPr>
          <w:color w:val="231F20"/>
        </w:rPr>
        <w:t>with minimal heat loss into subseafloor settings where hydrothermal convection can be initiated. For this reason, most prospective VMS environments are characterized by high-level</w:t>
      </w:r>
      <w:r>
        <w:rPr>
          <w:color w:val="231F20"/>
          <w:spacing w:val="-10"/>
        </w:rPr>
        <w:t> </w:t>
      </w:r>
      <w:r>
        <w:rPr>
          <w:color w:val="231F20"/>
        </w:rPr>
        <w:t>sill-dyke</w:t>
      </w:r>
      <w:r>
        <w:rPr>
          <w:color w:val="231F20"/>
          <w:spacing w:val="-10"/>
        </w:rPr>
        <w:t> </w:t>
      </w:r>
      <w:r>
        <w:rPr>
          <w:color w:val="231F20"/>
        </w:rPr>
        <w:t>swarms,</w:t>
      </w:r>
      <w:r>
        <w:rPr>
          <w:color w:val="231F20"/>
          <w:spacing w:val="-10"/>
        </w:rPr>
        <w:t> </w:t>
      </w:r>
      <w:r>
        <w:rPr>
          <w:color w:val="231F20"/>
        </w:rPr>
        <w:t>discrete</w:t>
      </w:r>
      <w:r>
        <w:rPr>
          <w:color w:val="231F20"/>
          <w:spacing w:val="-10"/>
        </w:rPr>
        <w:t> </w:t>
      </w:r>
      <w:r>
        <w:rPr>
          <w:color w:val="231F20"/>
        </w:rPr>
        <w:t>felsic</w:t>
      </w:r>
      <w:r>
        <w:rPr>
          <w:color w:val="231F20"/>
          <w:spacing w:val="-10"/>
        </w:rPr>
        <w:t> </w:t>
      </w:r>
      <w:r>
        <w:rPr>
          <w:color w:val="231F20"/>
        </w:rPr>
        <w:t>extrusive</w:t>
      </w:r>
      <w:r>
        <w:rPr>
          <w:color w:val="231F20"/>
          <w:spacing w:val="-9"/>
        </w:rPr>
        <w:t> </w:t>
      </w:r>
      <w:r>
        <w:rPr>
          <w:color w:val="231F20"/>
        </w:rPr>
        <w:t>centres, and large (&gt;15 km long and 2000 m thick) subvolcanic</w:t>
      </w:r>
      <w:r>
        <w:rPr>
          <w:color w:val="231F20"/>
          <w:spacing w:val="-36"/>
        </w:rPr>
        <w:t> </w:t>
      </w:r>
      <w:r>
        <w:rPr>
          <w:color w:val="231F20"/>
        </w:rPr>
        <w:t>com- posite intrusions. The absence of substantial subvolcanic intrusions</w:t>
      </w:r>
      <w:r>
        <w:rPr>
          <w:color w:val="231F20"/>
          <w:spacing w:val="-5"/>
        </w:rPr>
        <w:t> </w:t>
      </w:r>
      <w:r>
        <w:rPr>
          <w:color w:val="231F20"/>
        </w:rPr>
        <w:t>in</w:t>
      </w:r>
      <w:r>
        <w:rPr>
          <w:color w:val="231F20"/>
          <w:spacing w:val="-5"/>
        </w:rPr>
        <w:t> </w:t>
      </w:r>
      <w:r>
        <w:rPr>
          <w:color w:val="231F20"/>
        </w:rPr>
        <w:t>some</w:t>
      </w:r>
      <w:r>
        <w:rPr>
          <w:color w:val="231F20"/>
          <w:spacing w:val="-5"/>
        </w:rPr>
        <w:t> </w:t>
      </w:r>
      <w:r>
        <w:rPr>
          <w:color w:val="231F20"/>
        </w:rPr>
        <w:t>camps</w:t>
      </w:r>
      <w:r>
        <w:rPr>
          <w:color w:val="231F20"/>
          <w:spacing w:val="-5"/>
        </w:rPr>
        <w:t> </w:t>
      </w:r>
      <w:r>
        <w:rPr>
          <w:color w:val="231F20"/>
        </w:rPr>
        <w:t>may</w:t>
      </w:r>
      <w:r>
        <w:rPr>
          <w:color w:val="231F20"/>
          <w:spacing w:val="-5"/>
        </w:rPr>
        <w:t> </w:t>
      </w:r>
      <w:r>
        <w:rPr>
          <w:color w:val="231F20"/>
        </w:rPr>
        <w:t>be</w:t>
      </w:r>
      <w:r>
        <w:rPr>
          <w:color w:val="231F20"/>
          <w:spacing w:val="-5"/>
        </w:rPr>
        <w:t> </w:t>
      </w:r>
      <w:r>
        <w:rPr>
          <w:color w:val="231F20"/>
        </w:rPr>
        <w:t>due</w:t>
      </w:r>
      <w:r>
        <w:rPr>
          <w:color w:val="231F20"/>
          <w:spacing w:val="-5"/>
        </w:rPr>
        <w:t> </w:t>
      </w:r>
      <w:r>
        <w:rPr>
          <w:color w:val="231F20"/>
        </w:rPr>
        <w:t>to</w:t>
      </w:r>
      <w:r>
        <w:rPr>
          <w:color w:val="231F20"/>
          <w:spacing w:val="-5"/>
        </w:rPr>
        <w:t> </w:t>
      </w:r>
      <w:r>
        <w:rPr>
          <w:color w:val="231F20"/>
        </w:rPr>
        <w:t>poor</w:t>
      </w:r>
      <w:r>
        <w:rPr>
          <w:color w:val="231F20"/>
          <w:spacing w:val="-5"/>
        </w:rPr>
        <w:t> </w:t>
      </w:r>
      <w:r>
        <w:rPr>
          <w:color w:val="231F20"/>
        </w:rPr>
        <w:t>preservation</w:t>
      </w:r>
      <w:r>
        <w:rPr>
          <w:color w:val="231F20"/>
          <w:spacing w:val="-5"/>
        </w:rPr>
        <w:t> </w:t>
      </w:r>
      <w:r>
        <w:rPr>
          <w:color w:val="231F20"/>
        </w:rPr>
        <w:t>as a result of folding and</w:t>
      </w:r>
      <w:r>
        <w:rPr>
          <w:color w:val="231F20"/>
          <w:spacing w:val="20"/>
        </w:rPr>
        <w:t> </w:t>
      </w:r>
      <w:r>
        <w:rPr>
          <w:color w:val="231F20"/>
        </w:rPr>
        <w:t>faulting.</w:t>
      </w:r>
    </w:p>
    <w:p>
      <w:pPr>
        <w:pStyle w:val="BodyText"/>
        <w:spacing w:line="220" w:lineRule="exact" w:before="33"/>
        <w:ind w:left="1115" w:firstLine="216"/>
        <w:jc w:val="both"/>
      </w:pPr>
      <w:r>
        <w:rPr>
          <w:color w:val="231F20"/>
        </w:rPr>
        <w:t>The interaction of large volumes of volcanic strata with seawater within these high-heat extensional environments results in the formation of district-scale alteration zones that extend</w:t>
      </w:r>
      <w:r>
        <w:rPr>
          <w:color w:val="231F20"/>
          <w:spacing w:val="-8"/>
        </w:rPr>
        <w:t> </w:t>
      </w:r>
      <w:r>
        <w:rPr>
          <w:color w:val="231F20"/>
        </w:rPr>
        <w:t>over</w:t>
      </w:r>
      <w:r>
        <w:rPr>
          <w:color w:val="231F20"/>
          <w:spacing w:val="-8"/>
        </w:rPr>
        <w:t> </w:t>
      </w:r>
      <w:r>
        <w:rPr>
          <w:color w:val="231F20"/>
        </w:rPr>
        <w:t>the</w:t>
      </w:r>
      <w:r>
        <w:rPr>
          <w:color w:val="231F20"/>
          <w:spacing w:val="-8"/>
        </w:rPr>
        <w:t> </w:t>
      </w:r>
      <w:r>
        <w:rPr>
          <w:color w:val="231F20"/>
        </w:rPr>
        <w:t>strike</w:t>
      </w:r>
      <w:r>
        <w:rPr>
          <w:color w:val="231F20"/>
          <w:spacing w:val="-8"/>
        </w:rPr>
        <w:t> </w:t>
      </w:r>
      <w:r>
        <w:rPr>
          <w:color w:val="231F20"/>
        </w:rPr>
        <w:t>length</w:t>
      </w:r>
      <w:r>
        <w:rPr>
          <w:color w:val="231F20"/>
          <w:spacing w:val="-8"/>
        </w:rPr>
        <w:t> </w:t>
      </w:r>
      <w:r>
        <w:rPr>
          <w:color w:val="231F20"/>
        </w:rPr>
        <w:t>of</w:t>
      </w:r>
      <w:r>
        <w:rPr>
          <w:color w:val="231F20"/>
          <w:spacing w:val="-8"/>
        </w:rPr>
        <w:t> </w:t>
      </w:r>
      <w:r>
        <w:rPr>
          <w:color w:val="231F20"/>
        </w:rPr>
        <w:t>the</w:t>
      </w:r>
      <w:r>
        <w:rPr>
          <w:color w:val="231F20"/>
          <w:spacing w:val="-12"/>
        </w:rPr>
        <w:t> </w:t>
      </w:r>
      <w:r>
        <w:rPr>
          <w:color w:val="231F20"/>
        </w:rPr>
        <w:t>VMS-hosting</w:t>
      </w:r>
      <w:r>
        <w:rPr>
          <w:color w:val="231F20"/>
          <w:spacing w:val="-8"/>
        </w:rPr>
        <w:t> </w:t>
      </w:r>
      <w:r>
        <w:rPr>
          <w:color w:val="231F20"/>
        </w:rPr>
        <w:t>extensional feature (spreading ridge, rift, or caldera). Stacked alteration zones can have an aggregate thickness of 2000 to 3000 m, and may be intruded by resurgent phases of the underlying subvolcanic intrusion. Subvolcanic intrusions themselves can </w:t>
      </w:r>
      <w:r>
        <w:rPr>
          <w:color w:val="231F20"/>
          <w:spacing w:val="1"/>
        </w:rPr>
        <w:t>display textural </w:t>
      </w:r>
      <w:r>
        <w:rPr>
          <w:color w:val="231F20"/>
        </w:rPr>
        <w:t>features </w:t>
      </w:r>
      <w:r>
        <w:rPr>
          <w:color w:val="231F20"/>
          <w:spacing w:val="1"/>
        </w:rPr>
        <w:t>indicating </w:t>
      </w:r>
      <w:r>
        <w:rPr>
          <w:color w:val="231F20"/>
          <w:spacing w:val="2"/>
        </w:rPr>
        <w:t>high-level </w:t>
      </w:r>
      <w:r>
        <w:rPr>
          <w:color w:val="231F20"/>
        </w:rPr>
        <w:t>devolatilization and high-temperature magmatic hydrother- mal alteration (quartz-epidote-magnetite-ferroactinolite-sul- phides). In some cases, this devolatilization may contribute metals to the overlying convective hydrothermal system (Large et al., 1996; Lydon, 1996; </w:t>
      </w:r>
      <w:r>
        <w:rPr>
          <w:color w:val="231F20"/>
          <w:spacing w:val="-3"/>
        </w:rPr>
        <w:t>Galley, </w:t>
      </w:r>
      <w:r>
        <w:rPr>
          <w:color w:val="231F20"/>
        </w:rPr>
        <w:t>2003, and refer- ences</w:t>
      </w:r>
      <w:r>
        <w:rPr>
          <w:color w:val="231F20"/>
          <w:spacing w:val="-9"/>
        </w:rPr>
        <w:t> </w:t>
      </w:r>
      <w:r>
        <w:rPr>
          <w:color w:val="231F20"/>
        </w:rPr>
        <w:t>therein).</w:t>
      </w:r>
      <w:r>
        <w:rPr>
          <w:color w:val="231F20"/>
          <w:spacing w:val="-9"/>
        </w:rPr>
        <w:t> </w:t>
      </w:r>
      <w:r>
        <w:rPr>
          <w:color w:val="231F20"/>
        </w:rPr>
        <w:t>Regional</w:t>
      </w:r>
      <w:r>
        <w:rPr>
          <w:color w:val="231F20"/>
          <w:spacing w:val="-9"/>
        </w:rPr>
        <w:t> </w:t>
      </w:r>
      <w:r>
        <w:rPr>
          <w:color w:val="231F20"/>
        </w:rPr>
        <w:t>semiconformable</w:t>
      </w:r>
      <w:r>
        <w:rPr>
          <w:color w:val="231F20"/>
          <w:spacing w:val="-10"/>
        </w:rPr>
        <w:t> </w:t>
      </w:r>
      <w:r>
        <w:rPr>
          <w:color w:val="231F20"/>
        </w:rPr>
        <w:t>alteration</w:t>
      </w:r>
      <w:r>
        <w:rPr>
          <w:color w:val="231F20"/>
          <w:spacing w:val="-9"/>
        </w:rPr>
        <w:t> </w:t>
      </w:r>
      <w:r>
        <w:rPr>
          <w:color w:val="231F20"/>
        </w:rPr>
        <w:t>systems resemble regional metamorphic zones (zeolite, greenschist, amphibolite), with increasing grade towards the heat source. Most</w:t>
      </w:r>
      <w:r>
        <w:rPr>
          <w:color w:val="231F20"/>
          <w:spacing w:val="-8"/>
        </w:rPr>
        <w:t> </w:t>
      </w:r>
      <w:r>
        <w:rPr>
          <w:color w:val="231F20"/>
        </w:rPr>
        <w:t>Canadian</w:t>
      </w:r>
      <w:r>
        <w:rPr>
          <w:color w:val="231F20"/>
          <w:spacing w:val="-11"/>
        </w:rPr>
        <w:t> </w:t>
      </w:r>
      <w:r>
        <w:rPr>
          <w:color w:val="231F20"/>
        </w:rPr>
        <w:t>VMS</w:t>
      </w:r>
      <w:r>
        <w:rPr>
          <w:color w:val="231F20"/>
          <w:spacing w:val="-8"/>
        </w:rPr>
        <w:t> </w:t>
      </w:r>
      <w:r>
        <w:rPr>
          <w:color w:val="231F20"/>
        </w:rPr>
        <w:t>districts</w:t>
      </w:r>
      <w:r>
        <w:rPr>
          <w:color w:val="231F20"/>
          <w:spacing w:val="-8"/>
        </w:rPr>
        <w:t> </w:t>
      </w:r>
      <w:r>
        <w:rPr>
          <w:color w:val="231F20"/>
        </w:rPr>
        <w:t>have</w:t>
      </w:r>
      <w:r>
        <w:rPr>
          <w:color w:val="231F20"/>
          <w:spacing w:val="-8"/>
        </w:rPr>
        <w:t> </w:t>
      </w:r>
      <w:r>
        <w:rPr>
          <w:color w:val="231F20"/>
        </w:rPr>
        <w:t>been</w:t>
      </w:r>
      <w:r>
        <w:rPr>
          <w:color w:val="231F20"/>
          <w:spacing w:val="-8"/>
        </w:rPr>
        <w:t> </w:t>
      </w:r>
      <w:r>
        <w:rPr>
          <w:color w:val="231F20"/>
        </w:rPr>
        <w:t>affected</w:t>
      </w:r>
      <w:r>
        <w:rPr>
          <w:color w:val="231F20"/>
          <w:spacing w:val="-8"/>
        </w:rPr>
        <w:t> </w:t>
      </w:r>
      <w:r>
        <w:rPr>
          <w:color w:val="231F20"/>
        </w:rPr>
        <w:t>by</w:t>
      </w:r>
      <w:r>
        <w:rPr>
          <w:color w:val="231F20"/>
          <w:spacing w:val="-8"/>
        </w:rPr>
        <w:t> </w:t>
      </w:r>
      <w:r>
        <w:rPr>
          <w:color w:val="231F20"/>
        </w:rPr>
        <w:t>regional metamorphism, which has resulted in recrystallization of the original alteration minerals to greenschist and/or amphibo- lite assemblages. In camps such as Noranda, Bousquet, Sturgeon Lake, Manitouwadge, Snow Lake, Leaf Rapids, and the western Stikine (Tulsequah Chief), regional meta- morphism or local contact metamorphism of alteration min- erals has produced distinctive coarse-grained mineral</w:t>
      </w:r>
      <w:r>
        <w:rPr>
          <w:color w:val="231F20"/>
          <w:spacing w:val="-30"/>
        </w:rPr>
        <w:t> </w:t>
      </w:r>
      <w:r>
        <w:rPr>
          <w:color w:val="231F20"/>
        </w:rPr>
        <w:t>assem- </w:t>
      </w:r>
      <w:r>
        <w:rPr>
          <w:color w:val="231F20"/>
          <w:spacing w:val="1"/>
        </w:rPr>
        <w:t>blages characterized </w:t>
      </w:r>
      <w:r>
        <w:rPr>
          <w:color w:val="231F20"/>
        </w:rPr>
        <w:t>by such </w:t>
      </w:r>
      <w:r>
        <w:rPr>
          <w:color w:val="231F20"/>
          <w:spacing w:val="1"/>
        </w:rPr>
        <w:t>minerals </w:t>
      </w:r>
      <w:r>
        <w:rPr>
          <w:color w:val="231F20"/>
        </w:rPr>
        <w:t>as </w:t>
      </w:r>
      <w:r>
        <w:rPr>
          <w:color w:val="231F20"/>
          <w:spacing w:val="2"/>
        </w:rPr>
        <w:t>phlogopite, </w:t>
      </w:r>
      <w:r>
        <w:rPr>
          <w:color w:val="231F20"/>
        </w:rPr>
        <w:t>cordierite, anthophyllite, muscovite, staurolite, garnet, andalusite,</w:t>
      </w:r>
      <w:r>
        <w:rPr>
          <w:color w:val="231F20"/>
          <w:spacing w:val="20"/>
        </w:rPr>
        <w:t> </w:t>
      </w:r>
      <w:r>
        <w:rPr>
          <w:color w:val="231F20"/>
        </w:rPr>
        <w:t>and</w:t>
      </w:r>
      <w:r>
        <w:rPr>
          <w:color w:val="231F20"/>
          <w:spacing w:val="20"/>
        </w:rPr>
        <w:t> </w:t>
      </w:r>
      <w:r>
        <w:rPr>
          <w:color w:val="231F20"/>
        </w:rPr>
        <w:t>kyanite.</w:t>
      </w:r>
      <w:r>
        <w:rPr>
          <w:color w:val="231F20"/>
          <w:spacing w:val="16"/>
        </w:rPr>
        <w:t> </w:t>
      </w:r>
      <w:r>
        <w:rPr>
          <w:color w:val="231F20"/>
        </w:rPr>
        <w:t>The</w:t>
      </w:r>
      <w:r>
        <w:rPr>
          <w:color w:val="231F20"/>
          <w:spacing w:val="20"/>
        </w:rPr>
        <w:t> </w:t>
      </w:r>
      <w:r>
        <w:rPr>
          <w:color w:val="231F20"/>
        </w:rPr>
        <w:t>metamorphosed</w:t>
      </w:r>
      <w:r>
        <w:rPr>
          <w:color w:val="231F20"/>
          <w:spacing w:val="20"/>
        </w:rPr>
        <w:t> </w:t>
      </w:r>
      <w:r>
        <w:rPr>
          <w:color w:val="231F20"/>
        </w:rPr>
        <w:t>alteration</w:t>
      </w:r>
      <w:r>
        <w:rPr>
          <w:color w:val="231F20"/>
          <w:spacing w:val="20"/>
        </w:rPr>
        <w:t> </w:t>
      </w:r>
      <w:r>
        <w:rPr>
          <w:color w:val="231F20"/>
        </w:rPr>
        <w:t>can</w:t>
      </w:r>
    </w:p>
    <w:p>
      <w:pPr>
        <w:pStyle w:val="BodyText"/>
        <w:spacing w:line="220" w:lineRule="exact" w:before="202"/>
        <w:ind w:left="314" w:right="1081"/>
        <w:jc w:val="both"/>
      </w:pPr>
      <w:r>
        <w:rPr/>
        <w:br w:type="column"/>
      </w:r>
      <w:r>
        <w:rPr>
          <w:color w:val="231F20"/>
        </w:rPr>
        <w:t>activity. Precambrian VMS-related exhalites are commonly composed of finely bedded, sulphide-rich tuffaceous mate- rial. More extensive Algoma-type oxide facies Fe-forma- tions are also common in VMS-prospective back-arc envi- ronments of all ages. Both types of exhalite may form prox- imal</w:t>
      </w:r>
      <w:r>
        <w:rPr>
          <w:color w:val="231F20"/>
          <w:spacing w:val="-8"/>
        </w:rPr>
        <w:t> </w:t>
      </w:r>
      <w:r>
        <w:rPr>
          <w:color w:val="231F20"/>
        </w:rPr>
        <w:t>to</w:t>
      </w:r>
      <w:r>
        <w:rPr>
          <w:color w:val="231F20"/>
          <w:spacing w:val="-8"/>
        </w:rPr>
        <w:t> </w:t>
      </w:r>
      <w:r>
        <w:rPr>
          <w:color w:val="231F20"/>
        </w:rPr>
        <w:t>massive</w:t>
      </w:r>
      <w:r>
        <w:rPr>
          <w:color w:val="231F20"/>
          <w:spacing w:val="-8"/>
        </w:rPr>
        <w:t> </w:t>
      </w:r>
      <w:r>
        <w:rPr>
          <w:color w:val="231F20"/>
        </w:rPr>
        <w:t>sulphide</w:t>
      </w:r>
      <w:r>
        <w:rPr>
          <w:color w:val="231F20"/>
          <w:spacing w:val="-9"/>
        </w:rPr>
        <w:t> </w:t>
      </w:r>
      <w:r>
        <w:rPr>
          <w:color w:val="231F20"/>
        </w:rPr>
        <w:t>deposits</w:t>
      </w:r>
      <w:r>
        <w:rPr>
          <w:color w:val="231F20"/>
          <w:spacing w:val="-8"/>
        </w:rPr>
        <w:t> </w:t>
      </w:r>
      <w:r>
        <w:rPr>
          <w:color w:val="231F20"/>
        </w:rPr>
        <w:t>or</w:t>
      </w:r>
      <w:r>
        <w:rPr>
          <w:color w:val="231F20"/>
          <w:spacing w:val="-8"/>
        </w:rPr>
        <w:t> </w:t>
      </w:r>
      <w:r>
        <w:rPr>
          <w:color w:val="231F20"/>
        </w:rPr>
        <w:t>extend</w:t>
      </w:r>
      <w:r>
        <w:rPr>
          <w:color w:val="231F20"/>
          <w:spacing w:val="-8"/>
        </w:rPr>
        <w:t> </w:t>
      </w:r>
      <w:r>
        <w:rPr>
          <w:color w:val="231F20"/>
        </w:rPr>
        <w:t>for</w:t>
      </w:r>
      <w:r>
        <w:rPr>
          <w:color w:val="231F20"/>
          <w:spacing w:val="-8"/>
        </w:rPr>
        <w:t> </w:t>
      </w:r>
      <w:r>
        <w:rPr>
          <w:color w:val="231F20"/>
        </w:rPr>
        <w:t>strike</w:t>
      </w:r>
      <w:r>
        <w:rPr>
          <w:color w:val="231F20"/>
          <w:spacing w:val="-9"/>
        </w:rPr>
        <w:t> </w:t>
      </w:r>
      <w:r>
        <w:rPr>
          <w:color w:val="231F20"/>
        </w:rPr>
        <w:t>lengths of several kilometres to tens of kilometres (Spry et al.,</w:t>
      </w:r>
      <w:r>
        <w:rPr>
          <w:color w:val="231F20"/>
          <w:spacing w:val="-30"/>
        </w:rPr>
        <w:t> </w:t>
      </w:r>
      <w:r>
        <w:rPr>
          <w:color w:val="231F20"/>
        </w:rPr>
        <w:t>2000; </w:t>
      </w:r>
      <w:r>
        <w:rPr>
          <w:color w:val="231F20"/>
          <w:spacing w:val="-3"/>
        </w:rPr>
        <w:t>Peter, </w:t>
      </w:r>
      <w:r>
        <w:rPr>
          <w:color w:val="231F20"/>
        </w:rPr>
        <w:t>2003). Proximity to a hydrothermal source in these formations is indicated by positive inter-element correlation between hydrothermal components (Eu, Fe, Mn, Pb, Zn,</w:t>
      </w:r>
      <w:r>
        <w:rPr>
          <w:color w:val="231F20"/>
          <w:spacing w:val="-25"/>
        </w:rPr>
        <w:t> </w:t>
      </w:r>
      <w:r>
        <w:rPr>
          <w:color w:val="231F20"/>
        </w:rPr>
        <w:t>Cd, Au, Ca, </w:t>
      </w:r>
      <w:r>
        <w:rPr>
          <w:color w:val="231F20"/>
          <w:spacing w:val="-4"/>
        </w:rPr>
        <w:t>Sr, </w:t>
      </w:r>
      <w:r>
        <w:rPr>
          <w:color w:val="231F20"/>
        </w:rPr>
        <w:t>Ba, </w:t>
      </w:r>
      <w:r>
        <w:rPr>
          <w:color w:val="231F20"/>
          <w:spacing w:val="-12"/>
        </w:rPr>
        <w:t>P, </w:t>
      </w:r>
      <w:r>
        <w:rPr>
          <w:color w:val="231F20"/>
        </w:rPr>
        <w:t>and CO</w:t>
      </w:r>
      <w:r>
        <w:rPr>
          <w:color w:val="231F20"/>
          <w:position w:val="-3"/>
          <w:sz w:val="16"/>
        </w:rPr>
        <w:t>2</w:t>
      </w:r>
      <w:r>
        <w:rPr>
          <w:color w:val="231F20"/>
        </w:rPr>
        <w:t>) versus clastic components (Si, </w:t>
      </w:r>
      <w:r>
        <w:rPr>
          <w:color w:val="231F20"/>
          <w:spacing w:val="-3"/>
        </w:rPr>
        <w:t>Ti, </w:t>
      </w:r>
      <w:r>
        <w:rPr>
          <w:color w:val="231F20"/>
        </w:rPr>
        <w:t>Al, Mg, K, and Zr), increasing chondrite normalized EuEu* (hydrothermal input), and decreasing Ce/Ce* (sea- water input) towards the source (Peter and </w:t>
      </w:r>
      <w:r>
        <w:rPr>
          <w:color w:val="231F20"/>
          <w:spacing w:val="-3"/>
        </w:rPr>
        <w:t>Goodfellow, </w:t>
      </w:r>
      <w:r>
        <w:rPr>
          <w:color w:val="231F20"/>
        </w:rPr>
        <w:t>1996; </w:t>
      </w:r>
      <w:r>
        <w:rPr>
          <w:color w:val="231F20"/>
          <w:spacing w:val="-3"/>
        </w:rPr>
        <w:t>Peter, </w:t>
      </w:r>
      <w:r>
        <w:rPr>
          <w:color w:val="231F20"/>
        </w:rPr>
        <w:t>2003). </w:t>
      </w:r>
      <w:r>
        <w:rPr>
          <w:color w:val="231F20"/>
          <w:spacing w:val="-3"/>
        </w:rPr>
        <w:t>Vertical </w:t>
      </w:r>
      <w:r>
        <w:rPr>
          <w:color w:val="231F20"/>
        </w:rPr>
        <w:t>and horizontal facies vary from oxide through silicate to carbonate, which in some cases, also may reflect proximity to focused hydrothermal activity (Peter,</w:t>
      </w:r>
      <w:r>
        <w:rPr>
          <w:color w:val="231F20"/>
          <w:spacing w:val="3"/>
        </w:rPr>
        <w:t> </w:t>
      </w:r>
      <w:r>
        <w:rPr>
          <w:color w:val="231F20"/>
        </w:rPr>
        <w:t>2003).</w:t>
      </w:r>
    </w:p>
    <w:p>
      <w:pPr>
        <w:spacing w:before="155"/>
        <w:ind w:left="314" w:right="0" w:firstLine="0"/>
        <w:jc w:val="left"/>
        <w:rPr>
          <w:i/>
          <w:sz w:val="20"/>
        </w:rPr>
      </w:pPr>
      <w:r>
        <w:rPr>
          <w:i/>
          <w:color w:val="231F20"/>
          <w:sz w:val="20"/>
        </w:rPr>
        <w:t>Key Exploration Criteria</w:t>
      </w:r>
    </w:p>
    <w:p>
      <w:pPr>
        <w:pStyle w:val="BodyText"/>
        <w:spacing w:line="230" w:lineRule="auto" w:before="69"/>
        <w:ind w:left="314" w:right="1080" w:firstLine="216"/>
        <w:jc w:val="both"/>
      </w:pPr>
      <w:r>
        <w:rPr>
          <w:color w:val="231F20"/>
        </w:rPr>
        <w:t>The following are the major exploration criteria for Canadian VMS deposits and key attributes of VMS-hosting volcanic complexes.</w:t>
      </w:r>
    </w:p>
    <w:p>
      <w:pPr>
        <w:pStyle w:val="BodyText"/>
        <w:spacing w:line="230" w:lineRule="auto" w:before="34"/>
        <w:ind w:left="314" w:right="1081" w:firstLine="216"/>
        <w:jc w:val="both"/>
      </w:pPr>
      <w:r>
        <w:rPr>
          <w:color w:val="231F20"/>
        </w:rPr>
        <w:t>The deposits occur in volcanic belts from Late</w:t>
      </w:r>
      <w:r>
        <w:rPr>
          <w:color w:val="231F20"/>
          <w:spacing w:val="-38"/>
        </w:rPr>
        <w:t> </w:t>
      </w:r>
      <w:r>
        <w:rPr>
          <w:color w:val="231F20"/>
        </w:rPr>
        <w:t>Archean to Eocene in which extension is indicated by relatively primi- tive (tholeiitic to transitional) bimodal volcanism in</w:t>
      </w:r>
      <w:r>
        <w:rPr>
          <w:color w:val="231F20"/>
          <w:spacing w:val="-24"/>
        </w:rPr>
        <w:t> </w:t>
      </w:r>
      <w:r>
        <w:rPr>
          <w:color w:val="231F20"/>
        </w:rPr>
        <w:t>nascent- arc, rifted-arc, and back-arc environments. Some obducted seafloor-spreading centres and rifted continental margins</w:t>
      </w:r>
      <w:r>
        <w:rPr>
          <w:color w:val="231F20"/>
          <w:spacing w:val="-34"/>
        </w:rPr>
        <w:t> </w:t>
      </w:r>
      <w:r>
        <w:rPr>
          <w:color w:val="231F20"/>
        </w:rPr>
        <w:t>are also</w:t>
      </w:r>
      <w:r>
        <w:rPr>
          <w:color w:val="231F20"/>
          <w:spacing w:val="5"/>
        </w:rPr>
        <w:t> </w:t>
      </w:r>
      <w:r>
        <w:rPr>
          <w:color w:val="231F20"/>
        </w:rPr>
        <w:t>prospective.</w:t>
      </w:r>
    </w:p>
    <w:p>
      <w:pPr>
        <w:pStyle w:val="BodyText"/>
        <w:spacing w:line="230" w:lineRule="auto" w:before="31"/>
        <w:ind w:left="314" w:right="1082" w:firstLine="216"/>
        <w:jc w:val="both"/>
      </w:pPr>
      <w:r>
        <w:rPr>
          <w:color w:val="231F20"/>
        </w:rPr>
        <w:t>VMS formation occurs during periods of major ocean- closing and terrane accretion. These include the Late Archean (2.8-2.69 Ga), Paleoproterozoic (1.92-1.87 Ga), Cambro-Ordovician (500-450 Ma), Devono-Mississippian (370-340 Ma), and Early Jurassic (200-180 Ma).</w:t>
      </w:r>
    </w:p>
    <w:p>
      <w:pPr>
        <w:pStyle w:val="BodyText"/>
        <w:spacing w:line="220" w:lineRule="exact" w:before="36"/>
        <w:ind w:left="314" w:right="1078" w:firstLine="216"/>
        <w:jc w:val="both"/>
      </w:pPr>
      <w:r>
        <w:rPr>
          <w:color w:val="231F20"/>
        </w:rPr>
        <w:t>In effusive flow-dominated settings in oceanic arc and continental margin arcs, VMS deposits can be associated with</w:t>
      </w:r>
      <w:r>
        <w:rPr>
          <w:color w:val="231F20"/>
          <w:spacing w:val="-9"/>
        </w:rPr>
        <w:t> </w:t>
      </w:r>
      <w:r>
        <w:rPr>
          <w:color w:val="231F20"/>
        </w:rPr>
        <w:t>15</w:t>
      </w:r>
      <w:r>
        <w:rPr>
          <w:color w:val="231F20"/>
          <w:spacing w:val="-9"/>
        </w:rPr>
        <w:t> </w:t>
      </w:r>
      <w:r>
        <w:rPr>
          <w:color w:val="231F20"/>
        </w:rPr>
        <w:t>to</w:t>
      </w:r>
      <w:r>
        <w:rPr>
          <w:color w:val="231F20"/>
          <w:spacing w:val="-9"/>
        </w:rPr>
        <w:t> </w:t>
      </w:r>
      <w:r>
        <w:rPr>
          <w:color w:val="231F20"/>
        </w:rPr>
        <w:t>25</w:t>
      </w:r>
      <w:r>
        <w:rPr>
          <w:color w:val="231F20"/>
          <w:spacing w:val="-9"/>
        </w:rPr>
        <w:t> </w:t>
      </w:r>
      <w:r>
        <w:rPr>
          <w:color w:val="231F20"/>
        </w:rPr>
        <w:t>km</w:t>
      </w:r>
      <w:r>
        <w:rPr>
          <w:color w:val="231F20"/>
          <w:spacing w:val="-9"/>
        </w:rPr>
        <w:t> </w:t>
      </w:r>
      <w:r>
        <w:rPr>
          <w:color w:val="231F20"/>
        </w:rPr>
        <w:t>long,</w:t>
      </w:r>
      <w:r>
        <w:rPr>
          <w:color w:val="231F20"/>
          <w:spacing w:val="-9"/>
        </w:rPr>
        <w:t> </w:t>
      </w:r>
      <w:r>
        <w:rPr>
          <w:color w:val="231F20"/>
        </w:rPr>
        <w:t>mafic</w:t>
      </w:r>
      <w:r>
        <w:rPr>
          <w:color w:val="231F20"/>
          <w:spacing w:val="-9"/>
        </w:rPr>
        <w:t> </w:t>
      </w:r>
      <w:r>
        <w:rPr>
          <w:color w:val="231F20"/>
        </w:rPr>
        <w:t>to</w:t>
      </w:r>
      <w:r>
        <w:rPr>
          <w:color w:val="231F20"/>
          <w:spacing w:val="-9"/>
        </w:rPr>
        <w:t> </w:t>
      </w:r>
      <w:r>
        <w:rPr>
          <w:color w:val="231F20"/>
        </w:rPr>
        <w:t>composite</w:t>
      </w:r>
      <w:r>
        <w:rPr>
          <w:color w:val="231F20"/>
          <w:spacing w:val="-9"/>
        </w:rPr>
        <w:t> </w:t>
      </w:r>
      <w:r>
        <w:rPr>
          <w:color w:val="231F20"/>
        </w:rPr>
        <w:t>synvolcanic</w:t>
      </w:r>
      <w:r>
        <w:rPr>
          <w:color w:val="231F20"/>
          <w:spacing w:val="-9"/>
        </w:rPr>
        <w:t> </w:t>
      </w:r>
      <w:r>
        <w:rPr>
          <w:color w:val="231F20"/>
        </w:rPr>
        <w:t>intru- sions. These intrusions are Na-rich and depleted in low field strength </w:t>
      </w:r>
      <w:r>
        <w:rPr>
          <w:color w:val="231F20"/>
          <w:spacing w:val="1"/>
        </w:rPr>
        <w:t>elements </w:t>
      </w:r>
      <w:r>
        <w:rPr>
          <w:color w:val="231F20"/>
        </w:rPr>
        <w:t>and </w:t>
      </w:r>
      <w:r>
        <w:rPr>
          <w:color w:val="231F20"/>
          <w:spacing w:val="1"/>
        </w:rPr>
        <w:t>have </w:t>
      </w:r>
      <w:r>
        <w:rPr>
          <w:color w:val="231F20"/>
        </w:rPr>
        <w:t>low </w:t>
      </w:r>
      <w:r>
        <w:rPr>
          <w:color w:val="231F20"/>
          <w:spacing w:val="1"/>
        </w:rPr>
        <w:t>airborne </w:t>
      </w:r>
      <w:r>
        <w:rPr>
          <w:color w:val="231F20"/>
          <w:spacing w:val="2"/>
        </w:rPr>
        <w:t>radiometric </w:t>
      </w:r>
      <w:r>
        <w:rPr>
          <w:color w:val="231F20"/>
        </w:rPr>
        <w:t>responses but commonly show magnetic halos due to sur- rounding </w:t>
      </w:r>
      <w:r>
        <w:rPr>
          <w:color w:val="231F20"/>
          <w:spacing w:val="1"/>
        </w:rPr>
        <w:t>zones </w:t>
      </w:r>
      <w:r>
        <w:rPr>
          <w:color w:val="231F20"/>
        </w:rPr>
        <w:t>of </w:t>
      </w:r>
      <w:r>
        <w:rPr>
          <w:color w:val="231F20"/>
          <w:spacing w:val="1"/>
        </w:rPr>
        <w:t>high-temperature </w:t>
      </w:r>
      <w:r>
        <w:rPr>
          <w:color w:val="231F20"/>
        </w:rPr>
        <w:t>fluid </w:t>
      </w:r>
      <w:r>
        <w:rPr>
          <w:color w:val="231F20"/>
          <w:spacing w:val="2"/>
        </w:rPr>
        <w:t>interaction. </w:t>
      </w:r>
      <w:r>
        <w:rPr>
          <w:color w:val="231F20"/>
        </w:rPr>
        <w:t>Exploration</w:t>
      </w:r>
      <w:r>
        <w:rPr>
          <w:color w:val="231F20"/>
          <w:spacing w:val="-5"/>
        </w:rPr>
        <w:t> </w:t>
      </w:r>
      <w:r>
        <w:rPr>
          <w:color w:val="231F20"/>
        </w:rPr>
        <w:t>should</w:t>
      </w:r>
      <w:r>
        <w:rPr>
          <w:color w:val="231F20"/>
          <w:spacing w:val="-5"/>
        </w:rPr>
        <w:t> </w:t>
      </w:r>
      <w:r>
        <w:rPr>
          <w:color w:val="231F20"/>
        </w:rPr>
        <w:t>be</w:t>
      </w:r>
      <w:r>
        <w:rPr>
          <w:color w:val="231F20"/>
          <w:spacing w:val="-5"/>
        </w:rPr>
        <w:t> </w:t>
      </w:r>
      <w:r>
        <w:rPr>
          <w:color w:val="231F20"/>
        </w:rPr>
        <w:t>focused</w:t>
      </w:r>
      <w:r>
        <w:rPr>
          <w:color w:val="231F20"/>
          <w:spacing w:val="-5"/>
        </w:rPr>
        <w:t> </w:t>
      </w:r>
      <w:r>
        <w:rPr>
          <w:color w:val="231F20"/>
        </w:rPr>
        <w:t>up</w:t>
      </w:r>
      <w:r>
        <w:rPr>
          <w:color w:val="231F20"/>
          <w:spacing w:val="-5"/>
        </w:rPr>
        <w:t> </w:t>
      </w:r>
      <w:r>
        <w:rPr>
          <w:color w:val="231F20"/>
        </w:rPr>
        <w:t>to</w:t>
      </w:r>
      <w:r>
        <w:rPr>
          <w:color w:val="231F20"/>
          <w:spacing w:val="-5"/>
        </w:rPr>
        <w:t> </w:t>
      </w:r>
      <w:r>
        <w:rPr>
          <w:color w:val="231F20"/>
        </w:rPr>
        <w:t>3000</w:t>
      </w:r>
      <w:r>
        <w:rPr>
          <w:color w:val="231F20"/>
          <w:spacing w:val="-5"/>
        </w:rPr>
        <w:t> </w:t>
      </w:r>
      <w:r>
        <w:rPr>
          <w:color w:val="231F20"/>
        </w:rPr>
        <w:t>m</w:t>
      </w:r>
      <w:r>
        <w:rPr>
          <w:color w:val="231F20"/>
          <w:spacing w:val="-5"/>
        </w:rPr>
        <w:t> </w:t>
      </w:r>
      <w:r>
        <w:rPr>
          <w:color w:val="231F20"/>
        </w:rPr>
        <w:t>upsection</w:t>
      </w:r>
      <w:r>
        <w:rPr>
          <w:color w:val="231F20"/>
          <w:spacing w:val="-5"/>
        </w:rPr>
        <w:t> </w:t>
      </w:r>
      <w:r>
        <w:rPr>
          <w:color w:val="231F20"/>
        </w:rPr>
        <w:t>in</w:t>
      </w:r>
      <w:r>
        <w:rPr>
          <w:color w:val="231F20"/>
          <w:spacing w:val="-5"/>
        </w:rPr>
        <w:t> </w:t>
      </w:r>
      <w:r>
        <w:rPr>
          <w:color w:val="231F20"/>
        </w:rPr>
        <w:t>the comagmatic volcanic suites in the hanging wall of the intru- sions. Rhyolites with high Zr (&gt;300 ppm), negative chon- drite-normalized Eu anomalies, (La/Yb)</w:t>
      </w:r>
      <w:r>
        <w:rPr>
          <w:color w:val="231F20"/>
          <w:position w:val="-3"/>
          <w:sz w:val="16"/>
        </w:rPr>
        <w:t>N </w:t>
      </w:r>
      <w:r>
        <w:rPr>
          <w:color w:val="231F20"/>
        </w:rPr>
        <w:t>values of less than 7,</w:t>
      </w:r>
      <w:r>
        <w:rPr>
          <w:color w:val="231F20"/>
          <w:spacing w:val="25"/>
        </w:rPr>
        <w:t> </w:t>
      </w:r>
      <w:r>
        <w:rPr>
          <w:color w:val="231F20"/>
        </w:rPr>
        <w:t>(Gd/Yb)</w:t>
      </w:r>
      <w:r>
        <w:rPr>
          <w:color w:val="231F20"/>
          <w:position w:val="-3"/>
          <w:sz w:val="16"/>
        </w:rPr>
        <w:t>N</w:t>
      </w:r>
      <w:r>
        <w:rPr>
          <w:color w:val="231F20"/>
          <w:spacing w:val="20"/>
          <w:position w:val="-3"/>
          <w:sz w:val="16"/>
        </w:rPr>
        <w:t> </w:t>
      </w:r>
      <w:r>
        <w:rPr>
          <w:color w:val="231F20"/>
        </w:rPr>
        <w:t>values</w:t>
      </w:r>
      <w:r>
        <w:rPr>
          <w:color w:val="231F20"/>
          <w:spacing w:val="25"/>
        </w:rPr>
        <w:t> </w:t>
      </w:r>
      <w:r>
        <w:rPr>
          <w:color w:val="231F20"/>
        </w:rPr>
        <w:t>of</w:t>
      </w:r>
      <w:r>
        <w:rPr>
          <w:color w:val="231F20"/>
          <w:spacing w:val="25"/>
        </w:rPr>
        <w:t> </w:t>
      </w:r>
      <w:r>
        <w:rPr>
          <w:color w:val="231F20"/>
        </w:rPr>
        <w:t>less</w:t>
      </w:r>
      <w:r>
        <w:rPr>
          <w:color w:val="231F20"/>
          <w:spacing w:val="25"/>
        </w:rPr>
        <w:t> </w:t>
      </w:r>
      <w:r>
        <w:rPr>
          <w:color w:val="231F20"/>
        </w:rPr>
        <w:t>than</w:t>
      </w:r>
      <w:r>
        <w:rPr>
          <w:color w:val="231F20"/>
          <w:spacing w:val="25"/>
        </w:rPr>
        <w:t> </w:t>
      </w:r>
      <w:r>
        <w:rPr>
          <w:color w:val="231F20"/>
        </w:rPr>
        <w:t>2,</w:t>
      </w:r>
      <w:r>
        <w:rPr>
          <w:color w:val="231F20"/>
          <w:spacing w:val="25"/>
        </w:rPr>
        <w:t> </w:t>
      </w:r>
      <w:r>
        <w:rPr>
          <w:color w:val="231F20"/>
        </w:rPr>
        <w:t>and</w:t>
      </w:r>
      <w:r>
        <w:rPr>
          <w:color w:val="231F20"/>
          <w:spacing w:val="17"/>
        </w:rPr>
        <w:t> </w:t>
      </w:r>
      <w:r>
        <w:rPr>
          <w:color w:val="231F20"/>
        </w:rPr>
        <w:t>Y/Zr</w:t>
      </w:r>
      <w:r>
        <w:rPr>
          <w:color w:val="231F20"/>
          <w:spacing w:val="25"/>
        </w:rPr>
        <w:t> </w:t>
      </w:r>
      <w:r>
        <w:rPr>
          <w:color w:val="231F20"/>
        </w:rPr>
        <w:t>ratios</w:t>
      </w:r>
      <w:r>
        <w:rPr>
          <w:color w:val="231F20"/>
          <w:spacing w:val="25"/>
        </w:rPr>
        <w:t> </w:t>
      </w:r>
      <w:r>
        <w:rPr>
          <w:color w:val="231F20"/>
        </w:rPr>
        <w:t>of</w:t>
      </w:r>
      <w:r>
        <w:rPr>
          <w:color w:val="231F20"/>
          <w:spacing w:val="25"/>
        </w:rPr>
        <w:t> </w:t>
      </w:r>
      <w:r>
        <w:rPr>
          <w:color w:val="231F20"/>
        </w:rPr>
        <w:t>less</w:t>
      </w:r>
    </w:p>
    <w:p>
      <w:pPr>
        <w:tabs>
          <w:tab w:pos="3662" w:val="left" w:leader="none"/>
          <w:tab w:pos="4058" w:val="left" w:leader="none"/>
        </w:tabs>
        <w:spacing w:before="152"/>
        <w:ind w:left="2142" w:right="0" w:firstLine="0"/>
        <w:jc w:val="left"/>
        <w:rPr>
          <w:rFonts w:ascii="Arial"/>
          <w:sz w:val="13"/>
        </w:rPr>
      </w:pPr>
      <w:r>
        <w:rPr/>
        <w:pict>
          <v:group style="position:absolute;margin-left:316.541992pt;margin-top:15.043128pt;width:240.25pt;height:102.65pt;mso-position-horizontal-relative:page;mso-position-vertical-relative:paragraph;z-index:-173872" coordorigin="6331,301" coordsize="4805,2053">
            <v:shape style="position:absolute;left:6434;top:522;width:4670;height:1771" coordorigin="6434,523" coordsize="4670,1771" path="m9396,2289l9160,1739,8216,1318,7553,1067,6768,677,6640,523,6434,523,6511,641,6528,665,6571,726,6635,808,6712,892,6776,948,6839,990,6903,1023,6968,1054,7035,1087,7090,1116,7155,1149,7523,1324,7574,1345,7636,1368,7707,1390,7785,1413,8119,1505,8196,1528,8267,1549,8343,1575,8425,1603,8508,1633,8591,1665,8672,1698,8748,1733,8817,1767,8876,1802,8924,1837,8971,1878,8996,1905,9012,1929,9031,1961,9064,2012,9124,2094,9213,2209,9256,2269,9265,2291,9252,2294,9350,2294,9396,2289m11104,523l10945,523,10458,826,10063,1206,9904,2211,9940,2293,10047,2293,10048,2171,10054,2085,10071,1994,10104,1857,10126,1773,10150,1693,10176,1618,10204,1547,10234,1481,10267,1419,10302,1361,10340,1308,10385,1252,10421,1212,10458,1179,10506,1142,10575,1091,10673,1016,10767,947,10847,894,10914,851,10968,815,11009,782,11038,748,11053,708,11069,636,11086,577,11099,538,11104,523e" filled="true" fillcolor="#f6e0b1" stroked="false">
              <v:path arrowok="t"/>
              <v:fill type="solid"/>
            </v:shape>
            <v:shape style="position:absolute;left:6825;top:523;width:3372;height:1787" coordorigin="6826,523" coordsize="3372,1787" path="m7913,523l6826,598,7097,679,7300,743,7429,787,7476,808,7503,819,7520,824,7540,827,7551,831,7567,843,7585,866,7602,886,7614,894,7626,897,7641,905,7658,916,7690,931,7898,1016,8300,1088,8508,1130,8602,1150,8703,1174,8799,1203,8876,1234,8936,1263,9003,1294,9076,1329,9151,1370,9225,1417,9295,1472,9358,1537,9440,1641,9487,1714,9528,1808,9554,1885,9564,1922,9575,1957,9601,2047,9628,2172,9645,2310,9942,2297,9953,2117,9964,1979,9974,1886,9985,1819,9996,1735,10011,1652,10030,1589,10048,1549,10062,1499,10079,1406,10108,1237,10117,1178,10137,1039,10162,876,10183,745,10196,670,10197,622,10185,582,10158,527,7913,523xe" filled="true" fillcolor="#cedd7c" stroked="false">
              <v:path arrowok="t"/>
              <v:fill type="solid"/>
            </v:shape>
            <v:shape style="position:absolute;left:10109;top:639;width:762;height:590" coordorigin="10110,640" coordsize="762,590" path="m10187,640l10192,693,10171,813,10110,1230,10138,1197,10194,1132,10257,1069,10330,1004,10403,964,10456,940,10547,913,10666,845,10778,767,10842,713,10843,712,10612,712,10549,709,10517,709,10468,689,10456,680,10391,680,10310,667,10187,640xm10871,679l10813,694,10735,703,10612,712,10843,712,10871,679xm10444,672l10410,678,10391,680,10456,680,10444,672xe" filled="true" fillcolor="#d6cc70" stroked="false">
              <v:path arrowok="t"/>
              <v:fill type="solid"/>
            </v:shape>
            <v:shape style="position:absolute;left:10157;top:524;width:819;height:189" coordorigin="10158,524" coordsize="819,189" path="m10880,674l10446,674,10516,706,10557,708,10628,713,10793,699,10843,687,10873,679,10880,674xm10158,524l10178,590,10193,640,10358,676,10392,681,10446,674,10880,674,10911,652,10948,605,10966,556,10976,526,10158,524xe" filled="true" fillcolor="#f6adcd" stroked="false">
              <v:path arrowok="t"/>
              <v:fill type="solid"/>
            </v:shape>
            <v:shape style="position:absolute;left:9563;top:523;width:388;height:1781" coordorigin="9564,523" coordsize="388,1781" path="m9564,523l9572,612,9593,822,9619,1068,9642,1263,9658,1386,9676,1535,9704,1809,9755,2304,9778,2304,9785,2169,9802,1855,9821,1506,9838,1260,9849,1139,9864,1022,9895,841,9952,527,9564,523xe" filled="true" fillcolor="#1ab24c" stroked="false">
              <v:path arrowok="t"/>
              <v:fill type="solid"/>
            </v:shape>
            <v:shape style="position:absolute;left:9287;top:520;width:198;height:121" coordorigin="9287,520" coordsize="198,121" path="m9333,520l9287,641,9384,595,9476,535,9485,527,9333,520xe" filled="true" fillcolor="#f6adcd" stroked="false">
              <v:path arrowok="t"/>
              <v:fill type="solid"/>
            </v:shape>
            <v:shape style="position:absolute;left:8778;top:525;width:317;height:186" type="#_x0000_t75" stroked="false">
              <v:imagedata r:id="rId238" o:title=""/>
            </v:shape>
            <v:shape style="position:absolute;left:6557;top:524;width:2003;height:180" coordorigin="6558,524" coordsize="2003,180" path="m8400,527l6559,525,6558,534,6562,540,6576,545,6604,553,6660,566,6832,602,7259,660,7330,670,7383,675,7425,678,7465,680,7506,681,7600,682,7660,683,7710,685,7740,687,7807,693,7847,698,7868,702,7884,703,7908,699,7932,692,7950,684,7974,679,8019,677,8074,677,8179,680,8203,678,8207,677,8236,671,8270,659,8296,644,8309,631,8313,623,8317,617,8328,611,8344,606,8356,600,8365,594,8371,582,8378,565,8388,547,8396,533,8400,527m8560,617l8543,527,8482,524,8517,580,8549,610,8560,617e" filled="true" fillcolor="#f6adcd" stroked="false">
              <v:path arrowok="t"/>
              <v:fill type="solid"/>
            </v:shape>
            <v:shape style="position:absolute;left:8541;top:526;width:793;height:690" coordorigin="8542,527" coordsize="793,690" path="m8835,528l8542,528,8573,669,8590,746,8599,788,8606,822,8616,896,8628,1010,8640,1118,8646,1175,8648,1191,8648,1204,8648,1213,8648,1216,8687,1027,8710,921,8725,857,8741,797,8767,715,8798,627,8824,557,8835,528m9334,527l9083,527,9092,659,9097,731,9100,768,9104,796,9113,841,9125,902,9137,955,9142,978,9267,678,9334,527e" filled="true" fillcolor="#f6ecab" stroked="false">
              <v:path arrowok="t"/>
              <v:fill type="solid"/>
            </v:shape>
            <v:shape style="position:absolute;left:6633;top:559;width:3012;height:1751" coordorigin="6633,559" coordsize="3012,1751" path="m6633,559l6656,653,6690,712,6760,761,6975,863,7056,903,7134,942,7206,981,7273,1018,7331,1052,7419,1113,7482,1157,7557,1200,7637,1240,7710,1273,7768,1296,7869,1326,8308,1442,8381,1463,8436,1482,8482,1498,8609,1539,8683,1565,8760,1594,8838,1627,8914,1665,8983,1707,9045,1753,9094,1804,9153,1880,9207,1952,9254,2023,9292,2091,9322,2158,9341,2224,9349,2290,9645,2310,9628,2172,9601,2047,9575,1957,9564,1922,9554,1885,9528,1808,9487,1714,9440,1641,9358,1537,9295,1472,9225,1417,9151,1370,9076,1329,9003,1294,8936,1263,8876,1234,8799,1203,8703,1174,8602,1150,8508,1130,8300,1088,7898,1016,7690,931,7658,916,7641,905,7626,897,7614,894,7602,886,7585,866,7567,843,7551,831,7540,827,7520,824,7503,819,7476,808,7429,787,7300,743,7097,679,6826,598,6633,559xe" filled="true" fillcolor="#d6cc70" stroked="false">
              <v:path arrowok="t"/>
              <v:fill type="solid"/>
            </v:shape>
            <v:shape style="position:absolute;left:9663;top:364;width:734;height:158" coordorigin="9663,364" coordsize="734,158" path="m9848,388l9829,390,9813,394,9798,398,9780,405,9756,417,9730,432,9707,445,9692,456,9682,467,9674,487,9663,522,10397,522,10397,517,10390,497,10385,491,10367,488,10355,483,10346,476,10338,467,10331,460,10320,450,10300,436,10278,422,10260,409,10243,401,10224,394,10212,390,9926,390,9897,390,9870,388,9848,388xm10108,364l10087,366,10069,367,10062,368,10058,369,10048,373,10034,377,10018,382,10005,385,9992,388,9981,389,9970,390,9926,390,10212,390,10206,388,10193,383,10179,378,10160,373,10140,369,10124,365,10108,364xe" filled="true" fillcolor="#fae226" stroked="false">
              <v:path arrowok="t"/>
              <v:fill type="solid"/>
            </v:shape>
            <v:shape style="position:absolute;left:8051;top:365;width:2010;height:157" coordorigin="8051,365" coordsize="2010,157" path="m9976,365l9900,366,9816,369,9735,375,9663,384,9605,392,9565,396,9503,402,9290,424,9213,434,9161,440,9077,446,8801,463,8754,466,8721,469,8680,471,8470,478,8212,498,8151,502,8131,503,8113,503,8099,504,8089,505,8079,506,8053,512,8051,520,8051,522,9663,522,9666,512,9675,490,9689,464,9707,445,9730,432,9756,417,9780,405,9798,398,9813,394,9829,390,9848,388,9992,388,9992,388,10005,385,10018,382,10034,377,10048,372,10058,369,10061,367,9976,365xm9992,388l9848,388,9870,388,9897,390,9926,390,9970,390,9981,389,9992,388xe" filled="true" fillcolor="#ed1c24" stroked="false">
              <v:path arrowok="t"/>
              <v:fill type="solid"/>
            </v:shape>
            <v:line style="position:absolute" from="6428,523" to="11135,523" stroked="true" strokeweight=".557pt" strokecolor="#231f20">
              <v:stroke dashstyle="solid"/>
            </v:line>
            <v:shape style="position:absolute;left:9663;top:366;width:400;height:155" coordorigin="9663,367" coordsize="400,155" path="m9663,522l9692,456,9756,417,9813,394,9848,388,9870,388,9897,390,9926,390,9992,388,10058,369,10062,367e" filled="false" stroked="true" strokeweight=".418pt" strokecolor="#231f20">
              <v:path arrowok="t"/>
              <v:stroke dashstyle="solid"/>
            </v:shape>
            <v:shape style="position:absolute;left:10056;top:359;width:345;height:167" type="#_x0000_t75" stroked="false">
              <v:imagedata r:id="rId239" o:title=""/>
            </v:shape>
            <v:line style="position:absolute" from="6335,1822" to="6540,1822" stroked="true" strokeweight="6.519pt" strokecolor="#f6e0b1">
              <v:stroke dashstyle="solid"/>
            </v:line>
            <v:rect style="position:absolute;left:6335;top:1756;width:205;height:131" filled="false" stroked="true" strokeweight=".418pt" strokecolor="#231f20">
              <v:stroke dashstyle="solid"/>
            </v:rect>
            <v:line style="position:absolute" from="7558,1822" to="7762,1822" stroked="true" strokeweight="6.519pt" strokecolor="#cedd7c">
              <v:stroke dashstyle="solid"/>
            </v:line>
            <v:rect style="position:absolute;left:7557;top:1756;width:205;height:131" filled="false" stroked="true" strokeweight=".418pt" strokecolor="#231f20">
              <v:stroke dashstyle="solid"/>
            </v:rect>
            <v:line style="position:absolute" from="6335,2055" to="6540,2055" stroked="true" strokeweight="6.519pt" strokecolor="#d6cc70">
              <v:stroke dashstyle="solid"/>
            </v:line>
            <v:rect style="position:absolute;left:6335;top:1989;width:205;height:131" filled="false" stroked="true" strokeweight=".418pt" strokecolor="#231f20">
              <v:stroke dashstyle="solid"/>
            </v:rect>
            <v:line style="position:absolute" from="7558,2055" to="7762,2055" stroked="true" strokeweight="6.519pt" strokecolor="#f6ecab">
              <v:stroke dashstyle="solid"/>
            </v:line>
            <v:rect style="position:absolute;left:7557;top:1989;width:205;height:131" filled="false" stroked="true" strokeweight=".418pt" strokecolor="#231f20">
              <v:stroke dashstyle="solid"/>
            </v:rect>
            <v:line style="position:absolute" from="6335,2284" to="6540,2284" stroked="true" strokeweight="6.519pt" strokecolor="#f6adcd">
              <v:stroke dashstyle="solid"/>
            </v:line>
            <v:rect style="position:absolute;left:6335;top:2219;width:205;height:131" filled="false" stroked="true" strokeweight=".418pt" strokecolor="#231f20">
              <v:stroke dashstyle="solid"/>
            </v:rect>
            <v:line style="position:absolute" from="7558,2284" to="7762,2284" stroked="true" strokeweight="6.519pt" strokecolor="#1ab24c">
              <v:stroke dashstyle="solid"/>
            </v:line>
            <v:rect style="position:absolute;left:7557;top:2219;width:205;height:131" filled="false" stroked="true" strokeweight=".418pt" strokecolor="#231f20">
              <v:stroke dashstyle="solid"/>
            </v:rect>
            <v:line style="position:absolute" from="10214,1965" to="10211,2305" stroked="true" strokeweight=".557pt" strokecolor="#231f20">
              <v:stroke dashstyle="solid"/>
            </v:line>
            <v:shape style="position:absolute;left:10185;top:1956;width:58;height:45" coordorigin="10185,1956" coordsize="58,45" path="m10243,2001l10214,1956,10185,2000e" filled="false" stroked="true" strokeweight=".561pt" strokecolor="#231f20">
              <v:path arrowok="t"/>
              <v:stroke dashstyle="solid"/>
            </v:shape>
            <v:line style="position:absolute" from="10211,2302" to="10870,2302" stroked="true" strokeweight=".557pt" strokecolor="#231f20">
              <v:stroke dashstyle="solid"/>
            </v:line>
            <v:shape style="position:absolute;left:10834;top:2273;width:45;height:58" coordorigin="10835,2273" coordsize="45,58" path="m10835,2273l10879,2302,10835,2331e" filled="false" stroked="true" strokeweight=".561pt" strokecolor="#231f20">
              <v:path arrowok="t"/>
              <v:stroke dashstyle="solid"/>
            </v:shape>
            <v:line style="position:absolute" from="9055,360" to="9236,403" stroked="true" strokeweight=".418pt" strokecolor="#231f20">
              <v:stroke dashstyle="solid"/>
            </v:line>
            <v:shape style="position:absolute;left:9194;top:366;width:50;height:56" coordorigin="9195,367" coordsize="50,56" path="m9208,367l9244,405,9195,423e" filled="false" stroked="true" strokeweight=".561pt" strokecolor="#231f20">
              <v:path arrowok="t"/>
              <v:stroke dashstyle="solid"/>
            </v:shape>
            <v:line style="position:absolute" from="10245,450" to="10457,305" stroked="true" strokeweight=".418pt" strokecolor="#231f20">
              <v:stroke dashstyle="solid"/>
            </v:line>
            <v:shape style="position:absolute;left:10237;top:405;width:53;height:49" coordorigin="10237,406" coordsize="53,49" path="m10258,406l10237,454,10290,453e" filled="false" stroked="true" strokeweight=".561pt" strokecolor="#231f20">
              <v:path arrowok="t"/>
              <v:stroke dashstyle="solid"/>
            </v:shape>
            <w10:wrap type="none"/>
          </v:group>
        </w:pict>
      </w:r>
      <w:r>
        <w:rPr>
          <w:rFonts w:ascii="Arial"/>
          <w:color w:val="231F20"/>
          <w:w w:val="105"/>
          <w:sz w:val="13"/>
        </w:rPr>
        <w:t>Massive</w:t>
      </w:r>
      <w:r>
        <w:rPr>
          <w:rFonts w:ascii="Arial"/>
          <w:color w:val="231F20"/>
          <w:spacing w:val="-4"/>
          <w:w w:val="105"/>
          <w:sz w:val="13"/>
        </w:rPr>
        <w:t> </w:t>
      </w:r>
      <w:r>
        <w:rPr>
          <w:rFonts w:ascii="Arial"/>
          <w:color w:val="231F20"/>
          <w:w w:val="105"/>
          <w:sz w:val="13"/>
        </w:rPr>
        <w:t>sulphide</w:t>
      </w:r>
      <w:r>
        <w:rPr>
          <w:rFonts w:ascii="Arial"/>
          <w:color w:val="231F20"/>
          <w:spacing w:val="-4"/>
          <w:w w:val="105"/>
          <w:sz w:val="13"/>
        </w:rPr>
        <w:t> </w:t>
      </w:r>
      <w:r>
        <w:rPr>
          <w:rFonts w:ascii="Arial"/>
          <w:color w:val="231F20"/>
          <w:w w:val="105"/>
          <w:sz w:val="13"/>
        </w:rPr>
        <w:t>lens</w:t>
        <w:tab/>
      </w:r>
      <w:r>
        <w:rPr>
          <w:rFonts w:ascii="Arial"/>
          <w:color w:val="231F20"/>
          <w:w w:val="105"/>
          <w:sz w:val="13"/>
          <w:u w:val="single" w:color="231F20"/>
        </w:rPr>
        <w:tab/>
      </w:r>
      <w:r>
        <w:rPr>
          <w:rFonts w:ascii="Arial"/>
          <w:color w:val="231F20"/>
          <w:w w:val="105"/>
          <w:position w:val="8"/>
          <w:sz w:val="13"/>
        </w:rPr>
        <w:t>Chisel</w:t>
      </w:r>
      <w:r>
        <w:rPr>
          <w:rFonts w:ascii="Arial"/>
          <w:color w:val="231F20"/>
          <w:spacing w:val="-4"/>
          <w:w w:val="105"/>
          <w:position w:val="8"/>
          <w:sz w:val="13"/>
        </w:rPr>
        <w:t> </w:t>
      </w:r>
      <w:r>
        <w:rPr>
          <w:rFonts w:ascii="Arial"/>
          <w:color w:val="231F20"/>
          <w:w w:val="105"/>
          <w:position w:val="8"/>
          <w:sz w:val="13"/>
        </w:rPr>
        <w:t>Rhyolite</w:t>
      </w: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3"/>
        <w:rPr>
          <w:rFonts w:ascii="Arial"/>
          <w:sz w:val="24"/>
        </w:rPr>
      </w:pPr>
    </w:p>
    <w:p>
      <w:pPr>
        <w:spacing w:line="148" w:lineRule="exact" w:before="0"/>
        <w:ind w:left="1164" w:right="0" w:firstLine="0"/>
        <w:jc w:val="left"/>
        <w:rPr>
          <w:rFonts w:ascii="Arial"/>
          <w:sz w:val="13"/>
        </w:rPr>
      </w:pPr>
      <w:r>
        <w:rPr>
          <w:rFonts w:ascii="Arial"/>
          <w:color w:val="231F20"/>
          <w:w w:val="105"/>
          <w:sz w:val="13"/>
        </w:rPr>
        <w:t>LEGEND</w:t>
      </w:r>
    </w:p>
    <w:p>
      <w:pPr>
        <w:spacing w:line="148" w:lineRule="exact" w:before="0"/>
        <w:ind w:left="361" w:right="0" w:firstLine="0"/>
        <w:jc w:val="both"/>
        <w:rPr>
          <w:rFonts w:ascii="Arial"/>
          <w:i/>
          <w:sz w:val="13"/>
        </w:rPr>
      </w:pPr>
      <w:r>
        <w:rPr>
          <w:rFonts w:ascii="Arial"/>
          <w:i/>
          <w:color w:val="231F20"/>
          <w:w w:val="105"/>
          <w:sz w:val="13"/>
        </w:rPr>
        <w:t>Alteration Facies</w:t>
      </w:r>
    </w:p>
    <w:p>
      <w:pPr>
        <w:spacing w:after="0" w:line="148" w:lineRule="exact"/>
        <w:jc w:val="both"/>
        <w:rPr>
          <w:rFonts w:ascii="Arial"/>
          <w:sz w:val="13"/>
        </w:rPr>
        <w:sectPr>
          <w:pgSz w:w="12240" w:h="15840"/>
          <w:pgMar w:header="673" w:footer="779" w:top="1000" w:bottom="960" w:left="0" w:right="0"/>
          <w:cols w:num="2" w:equalWidth="0">
            <w:col w:w="5961" w:space="40"/>
            <w:col w:w="6239"/>
          </w:cols>
        </w:sectPr>
      </w:pPr>
    </w:p>
    <w:p>
      <w:pPr>
        <w:pStyle w:val="BodyText"/>
        <w:spacing w:line="230" w:lineRule="auto"/>
        <w:ind w:left="1115"/>
        <w:jc w:val="both"/>
      </w:pPr>
      <w:r>
        <w:rPr>
          <w:color w:val="231F20"/>
        </w:rPr>
        <w:t>be distinguished from essentially isochemical regional</w:t>
      </w:r>
      <w:r>
        <w:rPr>
          <w:color w:val="231F20"/>
          <w:spacing w:val="-28"/>
        </w:rPr>
        <w:t> </w:t>
      </w:r>
      <w:r>
        <w:rPr>
          <w:color w:val="231F20"/>
        </w:rPr>
        <w:t>meta- morphic mineral assemblages by the losses and gains of</w:t>
      </w:r>
      <w:r>
        <w:rPr>
          <w:color w:val="231F20"/>
          <w:spacing w:val="-9"/>
        </w:rPr>
        <w:t> </w:t>
      </w:r>
      <w:r>
        <w:rPr>
          <w:color w:val="231F20"/>
        </w:rPr>
        <w:t>var- ious elements during fluid-rock interactions (Fig.</w:t>
      </w:r>
      <w:r>
        <w:rPr>
          <w:color w:val="231F20"/>
          <w:spacing w:val="22"/>
        </w:rPr>
        <w:t> </w:t>
      </w:r>
      <w:r>
        <w:rPr>
          <w:color w:val="231F20"/>
        </w:rPr>
        <w:t>15).</w:t>
      </w:r>
    </w:p>
    <w:p>
      <w:pPr>
        <w:tabs>
          <w:tab w:pos="1805" w:val="left" w:leader="none"/>
        </w:tabs>
        <w:spacing w:line="99" w:lineRule="exact" w:before="0"/>
        <w:ind w:left="596" w:right="0" w:firstLine="0"/>
        <w:jc w:val="left"/>
        <w:rPr>
          <w:rFonts w:ascii="Arial"/>
          <w:sz w:val="13"/>
        </w:rPr>
      </w:pPr>
      <w:r>
        <w:rPr/>
        <w:br w:type="column"/>
      </w:r>
      <w:r>
        <w:rPr>
          <w:rFonts w:ascii="Arial"/>
          <w:color w:val="231F20"/>
          <w:w w:val="105"/>
          <w:sz w:val="13"/>
        </w:rPr>
        <w:t>Footwall</w:t>
      </w:r>
      <w:r>
        <w:rPr>
          <w:rFonts w:ascii="Arial"/>
          <w:color w:val="231F20"/>
          <w:spacing w:val="-9"/>
          <w:w w:val="105"/>
          <w:sz w:val="13"/>
        </w:rPr>
        <w:t> </w:t>
      </w:r>
      <w:r>
        <w:rPr>
          <w:rFonts w:ascii="Arial"/>
          <w:color w:val="231F20"/>
          <w:w w:val="105"/>
          <w:sz w:val="13"/>
        </w:rPr>
        <w:t>Dacite</w:t>
        <w:tab/>
        <w:t>Chlorite-Staurolite</w:t>
      </w:r>
    </w:p>
    <w:p>
      <w:pPr>
        <w:tabs>
          <w:tab w:pos="1805" w:val="left" w:leader="none"/>
        </w:tabs>
        <w:spacing w:line="328" w:lineRule="auto" w:before="71"/>
        <w:ind w:left="596" w:right="0" w:firstLine="0"/>
        <w:jc w:val="left"/>
        <w:rPr>
          <w:rFonts w:ascii="Arial"/>
          <w:sz w:val="13"/>
        </w:rPr>
      </w:pPr>
      <w:r>
        <w:rPr>
          <w:rFonts w:ascii="Arial"/>
          <w:color w:val="231F20"/>
          <w:w w:val="105"/>
          <w:sz w:val="13"/>
        </w:rPr>
        <w:t>Biotite-Garnet</w:t>
        <w:tab/>
      </w:r>
      <w:r>
        <w:rPr>
          <w:rFonts w:ascii="Arial"/>
          <w:color w:val="231F20"/>
          <w:w w:val="105"/>
          <w:position w:val="1"/>
          <w:sz w:val="13"/>
        </w:rPr>
        <w:t>Siliceous Stringer </w:t>
      </w:r>
      <w:r>
        <w:rPr>
          <w:rFonts w:ascii="Arial"/>
          <w:color w:val="231F20"/>
          <w:w w:val="105"/>
          <w:sz w:val="13"/>
        </w:rPr>
        <w:t>Sericite-Kyanite</w:t>
        <w:tab/>
        <w:t>Amphibolite</w:t>
      </w:r>
      <w:r>
        <w:rPr>
          <w:rFonts w:ascii="Arial"/>
          <w:color w:val="231F20"/>
          <w:spacing w:val="-26"/>
          <w:w w:val="105"/>
          <w:sz w:val="13"/>
        </w:rPr>
        <w:t> </w:t>
      </w:r>
      <w:r>
        <w:rPr>
          <w:rFonts w:ascii="Arial"/>
          <w:color w:val="231F20"/>
          <w:w w:val="105"/>
          <w:sz w:val="13"/>
        </w:rPr>
        <w:t>Stringer</w:t>
      </w:r>
    </w:p>
    <w:p>
      <w:pPr>
        <w:spacing w:line="105" w:lineRule="exact" w:before="0"/>
        <w:ind w:left="0" w:right="0" w:firstLine="0"/>
        <w:jc w:val="right"/>
        <w:rPr>
          <w:rFonts w:ascii="Arial"/>
          <w:sz w:val="11"/>
        </w:rPr>
      </w:pPr>
      <w:r>
        <w:rPr/>
        <w:br w:type="column"/>
      </w:r>
      <w:r>
        <w:rPr>
          <w:rFonts w:ascii="Arial"/>
          <w:color w:val="231F20"/>
          <w:sz w:val="11"/>
        </w:rPr>
        <w:t>50 m</w:t>
      </w:r>
    </w:p>
    <w:p>
      <w:pPr>
        <w:pStyle w:val="BodyText"/>
        <w:rPr>
          <w:rFonts w:ascii="Arial"/>
          <w:sz w:val="12"/>
        </w:rPr>
      </w:pPr>
      <w:r>
        <w:rPr/>
        <w:br w:type="column"/>
      </w:r>
      <w:r>
        <w:rPr>
          <w:rFonts w:ascii="Arial"/>
          <w:sz w:val="12"/>
        </w:rPr>
      </w:r>
    </w:p>
    <w:p>
      <w:pPr>
        <w:pStyle w:val="BodyText"/>
        <w:rPr>
          <w:rFonts w:ascii="Arial"/>
          <w:sz w:val="12"/>
        </w:rPr>
      </w:pPr>
    </w:p>
    <w:p>
      <w:pPr>
        <w:pStyle w:val="BodyText"/>
        <w:spacing w:before="6"/>
        <w:rPr>
          <w:rFonts w:ascii="Arial"/>
          <w:sz w:val="11"/>
        </w:rPr>
      </w:pPr>
    </w:p>
    <w:p>
      <w:pPr>
        <w:spacing w:before="0"/>
        <w:ind w:left="495" w:right="0" w:firstLine="0"/>
        <w:jc w:val="left"/>
        <w:rPr>
          <w:rFonts w:ascii="Arial"/>
          <w:sz w:val="11"/>
        </w:rPr>
      </w:pPr>
      <w:r>
        <w:rPr>
          <w:rFonts w:ascii="Arial"/>
          <w:color w:val="231F20"/>
          <w:sz w:val="11"/>
        </w:rPr>
        <w:t>50 m</w:t>
      </w:r>
    </w:p>
    <w:p>
      <w:pPr>
        <w:spacing w:after="0"/>
        <w:jc w:val="left"/>
        <w:rPr>
          <w:rFonts w:ascii="Arial"/>
          <w:sz w:val="11"/>
        </w:rPr>
        <w:sectPr>
          <w:type w:val="continuous"/>
          <w:pgSz w:w="12240" w:h="15840"/>
          <w:pgMar w:top="920" w:bottom="280" w:left="0" w:right="0"/>
          <w:cols w:num="4" w:equalWidth="0">
            <w:col w:w="5958" w:space="40"/>
            <w:col w:w="3010" w:space="39"/>
            <w:col w:w="1346" w:space="40"/>
            <w:col w:w="1807"/>
          </w:cols>
        </w:sectPr>
      </w:pPr>
    </w:p>
    <w:p>
      <w:pPr>
        <w:pStyle w:val="BodyText"/>
        <w:spacing w:line="230" w:lineRule="auto" w:before="30"/>
        <w:ind w:left="1115" w:firstLine="216"/>
        <w:jc w:val="both"/>
      </w:pPr>
      <w:r>
        <w:rPr>
          <w:color w:val="231F20"/>
        </w:rPr>
        <w:t>Submarine volcanic stratigraphy that is prospective for VMS</w:t>
      </w:r>
      <w:r>
        <w:rPr>
          <w:color w:val="231F20"/>
          <w:spacing w:val="-10"/>
        </w:rPr>
        <w:t> </w:t>
      </w:r>
      <w:r>
        <w:rPr>
          <w:color w:val="231F20"/>
        </w:rPr>
        <w:t>mineralization</w:t>
      </w:r>
      <w:r>
        <w:rPr>
          <w:color w:val="231F20"/>
          <w:spacing w:val="-10"/>
        </w:rPr>
        <w:t> </w:t>
      </w:r>
      <w:r>
        <w:rPr>
          <w:color w:val="231F20"/>
        </w:rPr>
        <w:t>commonly</w:t>
      </w:r>
      <w:r>
        <w:rPr>
          <w:color w:val="231F20"/>
          <w:spacing w:val="-10"/>
        </w:rPr>
        <w:t> </w:t>
      </w:r>
      <w:r>
        <w:rPr>
          <w:color w:val="231F20"/>
        </w:rPr>
        <w:t>contains</w:t>
      </w:r>
      <w:r>
        <w:rPr>
          <w:color w:val="231F20"/>
          <w:spacing w:val="-10"/>
        </w:rPr>
        <w:t> </w:t>
      </w:r>
      <w:r>
        <w:rPr>
          <w:color w:val="231F20"/>
        </w:rPr>
        <w:t>ferruginous</w:t>
      </w:r>
      <w:r>
        <w:rPr>
          <w:color w:val="231F20"/>
          <w:spacing w:val="-10"/>
        </w:rPr>
        <w:t> </w:t>
      </w:r>
      <w:r>
        <w:rPr>
          <w:color w:val="231F20"/>
        </w:rPr>
        <w:t>exhala- tive</w:t>
      </w:r>
      <w:r>
        <w:rPr>
          <w:color w:val="231F20"/>
          <w:spacing w:val="22"/>
        </w:rPr>
        <w:t> </w:t>
      </w:r>
      <w:r>
        <w:rPr>
          <w:color w:val="231F20"/>
        </w:rPr>
        <w:t>horizons</w:t>
      </w:r>
      <w:r>
        <w:rPr>
          <w:color w:val="231F20"/>
          <w:spacing w:val="22"/>
        </w:rPr>
        <w:t> </w:t>
      </w:r>
      <w:r>
        <w:rPr>
          <w:color w:val="231F20"/>
        </w:rPr>
        <w:t>as</w:t>
      </w:r>
      <w:r>
        <w:rPr>
          <w:color w:val="231F20"/>
          <w:spacing w:val="22"/>
        </w:rPr>
        <w:t> </w:t>
      </w:r>
      <w:r>
        <w:rPr>
          <w:color w:val="231F20"/>
        </w:rPr>
        <w:t>an</w:t>
      </w:r>
      <w:r>
        <w:rPr>
          <w:color w:val="231F20"/>
          <w:spacing w:val="22"/>
        </w:rPr>
        <w:t> </w:t>
      </w:r>
      <w:r>
        <w:rPr>
          <w:color w:val="231F20"/>
        </w:rPr>
        <w:t>indication</w:t>
      </w:r>
      <w:r>
        <w:rPr>
          <w:color w:val="231F20"/>
          <w:spacing w:val="22"/>
        </w:rPr>
        <w:t> </w:t>
      </w:r>
      <w:r>
        <w:rPr>
          <w:color w:val="231F20"/>
        </w:rPr>
        <w:t>of</w:t>
      </w:r>
      <w:r>
        <w:rPr>
          <w:color w:val="231F20"/>
          <w:spacing w:val="22"/>
        </w:rPr>
        <w:t> </w:t>
      </w:r>
      <w:r>
        <w:rPr>
          <w:color w:val="231F20"/>
        </w:rPr>
        <w:t>subseafloor</w:t>
      </w:r>
      <w:r>
        <w:rPr>
          <w:color w:val="231F20"/>
          <w:spacing w:val="22"/>
        </w:rPr>
        <w:t> </w:t>
      </w:r>
      <w:r>
        <w:rPr>
          <w:color w:val="231F20"/>
        </w:rPr>
        <w:t>hydrothermal</w:t>
      </w:r>
    </w:p>
    <w:p>
      <w:pPr>
        <w:spacing w:line="148" w:lineRule="exact" w:before="0"/>
        <w:ind w:left="323" w:right="0" w:firstLine="0"/>
        <w:jc w:val="left"/>
        <w:rPr>
          <w:sz w:val="16"/>
        </w:rPr>
      </w:pPr>
      <w:r>
        <w:rPr/>
        <w:br w:type="column"/>
      </w:r>
      <w:r>
        <w:rPr>
          <w:b/>
          <w:color w:val="231F20"/>
          <w:sz w:val="16"/>
        </w:rPr>
        <w:t>F</w:t>
      </w:r>
      <w:r>
        <w:rPr>
          <w:b/>
          <w:color w:val="231F20"/>
          <w:sz w:val="16"/>
          <w:vertAlign w:val="subscript"/>
        </w:rPr>
        <w:t>IGURE</w:t>
      </w:r>
      <w:r>
        <w:rPr>
          <w:b/>
          <w:color w:val="231F20"/>
          <w:sz w:val="16"/>
          <w:vertAlign w:val="baseline"/>
        </w:rPr>
        <w:t> 23. </w:t>
      </w:r>
      <w:r>
        <w:rPr>
          <w:color w:val="231F20"/>
          <w:sz w:val="16"/>
          <w:vertAlign w:val="baseline"/>
        </w:rPr>
        <w:t>A stylized cross-section through the proximal alteration zone at</w:t>
      </w:r>
    </w:p>
    <w:p>
      <w:pPr>
        <w:spacing w:line="230" w:lineRule="auto" w:before="2"/>
        <w:ind w:left="323" w:right="1095" w:firstLine="0"/>
        <w:jc w:val="both"/>
        <w:rPr>
          <w:sz w:val="16"/>
        </w:rPr>
      </w:pPr>
      <w:r>
        <w:rPr>
          <w:color w:val="231F20"/>
          <w:sz w:val="16"/>
        </w:rPr>
        <w:t>the Chisel deposit, Snow Lake mining camp, illustrating the changes in mineral assemblages that occur when the terrane undergoes lower to mid- dle amphibolite-grade regional metamorphism. From Galley et al. (1993).</w:t>
      </w:r>
    </w:p>
    <w:p>
      <w:pPr>
        <w:spacing w:after="0" w:line="230" w:lineRule="auto"/>
        <w:jc w:val="both"/>
        <w:rPr>
          <w:sz w:val="16"/>
        </w:rPr>
        <w:sectPr>
          <w:type w:val="continuous"/>
          <w:pgSz w:w="12240" w:h="15840"/>
          <w:pgMar w:top="920" w:bottom="280" w:left="0" w:right="0"/>
          <w:cols w:num="2" w:equalWidth="0">
            <w:col w:w="5957" w:space="40"/>
            <w:col w:w="6243"/>
          </w:cols>
        </w:sectPr>
      </w:pPr>
    </w:p>
    <w:p>
      <w:pPr>
        <w:pStyle w:val="BodyText"/>
        <w:spacing w:line="230" w:lineRule="auto" w:before="193"/>
        <w:ind w:left="1100" w:right="1"/>
        <w:jc w:val="both"/>
      </w:pPr>
      <w:r>
        <w:rPr>
          <w:color w:val="231F20"/>
        </w:rPr>
        <w:t>than 7 define high-temperature (&gt;900°C) felsic volcanic environments favourable for VMS formation. The presence of synvolcanic dyke swarms and exhalite horizons are indicative of areas of high paleo-heat flow.</w:t>
      </w:r>
    </w:p>
    <w:p>
      <w:pPr>
        <w:pStyle w:val="BodyText"/>
        <w:spacing w:line="230" w:lineRule="auto" w:before="32"/>
        <w:ind w:left="1100" w:firstLine="216"/>
        <w:jc w:val="both"/>
      </w:pPr>
      <w:r>
        <w:rPr>
          <w:color w:val="231F20"/>
        </w:rPr>
        <w:t>In continental back-arc, bimodal siliciclastic-dominated settings aeromagnetic surveys can be used to identify aeri- ally extensive iron formations to target hydrothermally active paleo-seafloor horizons. Variations in the mineralogy of the iron formations and varying element ratios can serve as vectors toward high-temperature hydrothermal centres. Volumetrically minor sill-dyke complexes also may identify higher temperature hydrothermal centres.</w:t>
      </w:r>
    </w:p>
    <w:p>
      <w:pPr>
        <w:pStyle w:val="BodyText"/>
        <w:spacing w:line="230" w:lineRule="auto" w:before="30"/>
        <w:ind w:left="1100" w:right="1" w:firstLine="216"/>
        <w:jc w:val="both"/>
      </w:pPr>
      <w:r>
        <w:rPr>
          <w:color w:val="231F20"/>
        </w:rPr>
        <w:t>In upper greenschist-amphibolite metamorphic terranes, distinctive, coarse-grained mineral suites commonly define VMS</w:t>
      </w:r>
      <w:r>
        <w:rPr>
          <w:color w:val="231F20"/>
          <w:spacing w:val="-6"/>
        </w:rPr>
        <w:t> </w:t>
      </w:r>
      <w:r>
        <w:rPr>
          <w:color w:val="231F20"/>
        </w:rPr>
        <w:t>alteration</w:t>
      </w:r>
      <w:r>
        <w:rPr>
          <w:color w:val="231F20"/>
          <w:spacing w:val="-6"/>
        </w:rPr>
        <w:t> </w:t>
      </w:r>
      <w:r>
        <w:rPr>
          <w:color w:val="231F20"/>
        </w:rPr>
        <w:t>zones.</w:t>
      </w:r>
      <w:r>
        <w:rPr>
          <w:color w:val="231F20"/>
          <w:spacing w:val="-10"/>
        </w:rPr>
        <w:t> </w:t>
      </w:r>
      <w:r>
        <w:rPr>
          <w:color w:val="231F20"/>
        </w:rPr>
        <w:t>These</w:t>
      </w:r>
      <w:r>
        <w:rPr>
          <w:color w:val="231F20"/>
          <w:spacing w:val="-6"/>
        </w:rPr>
        <w:t> </w:t>
      </w:r>
      <w:r>
        <w:rPr>
          <w:color w:val="231F20"/>
        </w:rPr>
        <w:t>include</w:t>
      </w:r>
      <w:r>
        <w:rPr>
          <w:color w:val="231F20"/>
          <w:spacing w:val="-6"/>
        </w:rPr>
        <w:t> </w:t>
      </w:r>
      <w:r>
        <w:rPr>
          <w:color w:val="231F20"/>
        </w:rPr>
        <w:t>chloritoid,</w:t>
      </w:r>
      <w:r>
        <w:rPr>
          <w:color w:val="231F20"/>
          <w:spacing w:val="-6"/>
        </w:rPr>
        <w:t> </w:t>
      </w:r>
      <w:r>
        <w:rPr>
          <w:color w:val="231F20"/>
        </w:rPr>
        <w:t>garnet,</w:t>
      </w:r>
      <w:r>
        <w:rPr>
          <w:color w:val="231F20"/>
          <w:spacing w:val="-6"/>
        </w:rPr>
        <w:t> </w:t>
      </w:r>
      <w:r>
        <w:rPr>
          <w:color w:val="231F20"/>
        </w:rPr>
        <w:t>stau- rolite, kyanite, andalusite, phlogopite, and gahnite. More aluminous mineral assemblages commonly occur closer to a high-temperature alteration pipe. Metamorphic mineral chemistry, such as Fe/Zn ratio of staurolite, is also a vector to</w:t>
      </w:r>
      <w:r>
        <w:rPr>
          <w:color w:val="231F20"/>
          <w:spacing w:val="-8"/>
        </w:rPr>
        <w:t> </w:t>
      </w:r>
      <w:r>
        <w:rPr>
          <w:color w:val="231F20"/>
        </w:rPr>
        <w:t>ore.</w:t>
      </w:r>
      <w:r>
        <w:rPr>
          <w:color w:val="231F20"/>
          <w:spacing w:val="-11"/>
        </w:rPr>
        <w:t> </w:t>
      </w:r>
      <w:r>
        <w:rPr>
          <w:color w:val="231F20"/>
        </w:rPr>
        <w:t>These</w:t>
      </w:r>
      <w:r>
        <w:rPr>
          <w:color w:val="231F20"/>
          <w:spacing w:val="-8"/>
        </w:rPr>
        <w:t> </w:t>
      </w:r>
      <w:r>
        <w:rPr>
          <w:color w:val="231F20"/>
        </w:rPr>
        <w:t>largely</w:t>
      </w:r>
      <w:r>
        <w:rPr>
          <w:color w:val="231F20"/>
          <w:spacing w:val="-8"/>
        </w:rPr>
        <w:t> </w:t>
      </w:r>
      <w:r>
        <w:rPr>
          <w:color w:val="231F20"/>
        </w:rPr>
        <w:t>refractory</w:t>
      </w:r>
      <w:r>
        <w:rPr>
          <w:color w:val="231F20"/>
          <w:spacing w:val="-8"/>
        </w:rPr>
        <w:t> </w:t>
      </w:r>
      <w:r>
        <w:rPr>
          <w:color w:val="231F20"/>
        </w:rPr>
        <w:t>minerals</w:t>
      </w:r>
      <w:r>
        <w:rPr>
          <w:color w:val="231F20"/>
          <w:spacing w:val="-8"/>
        </w:rPr>
        <w:t> </w:t>
      </w:r>
      <w:r>
        <w:rPr>
          <w:color w:val="231F20"/>
        </w:rPr>
        <w:t>have</w:t>
      </w:r>
      <w:r>
        <w:rPr>
          <w:color w:val="231F20"/>
          <w:spacing w:val="-8"/>
        </w:rPr>
        <w:t> </w:t>
      </w:r>
      <w:r>
        <w:rPr>
          <w:color w:val="231F20"/>
        </w:rPr>
        <w:t>a</w:t>
      </w:r>
      <w:r>
        <w:rPr>
          <w:color w:val="231F20"/>
          <w:spacing w:val="-8"/>
        </w:rPr>
        <w:t> </w:t>
      </w:r>
      <w:r>
        <w:rPr>
          <w:color w:val="231F20"/>
        </w:rPr>
        <w:t>high</w:t>
      </w:r>
      <w:r>
        <w:rPr>
          <w:color w:val="231F20"/>
          <w:spacing w:val="-8"/>
        </w:rPr>
        <w:t> </w:t>
      </w:r>
      <w:r>
        <w:rPr>
          <w:color w:val="231F20"/>
        </w:rPr>
        <w:t>survival rate in surficial sediments, and can be used through heavy mineral separation as further exploration guides in till-cov- ered</w:t>
      </w:r>
      <w:r>
        <w:rPr>
          <w:color w:val="231F20"/>
          <w:spacing w:val="5"/>
        </w:rPr>
        <w:t> </w:t>
      </w:r>
      <w:r>
        <w:rPr>
          <w:color w:val="231F20"/>
        </w:rPr>
        <w:t>areas.</w:t>
      </w:r>
    </w:p>
    <w:p>
      <w:pPr>
        <w:pStyle w:val="BodyText"/>
        <w:spacing w:line="230" w:lineRule="auto" w:before="28"/>
        <w:ind w:left="1100" w:firstLine="216"/>
        <w:jc w:val="both"/>
      </w:pPr>
      <w:r>
        <w:rPr>
          <w:color w:val="231F20"/>
        </w:rPr>
        <w:t>Mineralogy and chemistry can be used to identify large- scale hydrothermal alteration systems in which clusters of VMS deposits may form. Broad zones of semiconformable alteration will show increases in Ca-Si (epidotization-silici- fication), Ca-Si-Fe (actinolite-clinozoisite-magnetite), Na (spilitization), or K-Mg (mixed </w:t>
      </w:r>
      <w:r>
        <w:rPr>
          <w:color w:val="231F20"/>
          <w:spacing w:val="2"/>
        </w:rPr>
        <w:t>chlorite-sericite±K- </w:t>
      </w:r>
      <w:r>
        <w:rPr>
          <w:color w:val="231F20"/>
        </w:rPr>
        <w:t>feldspar).</w:t>
      </w:r>
      <w:r>
        <w:rPr>
          <w:color w:val="231F20"/>
          <w:spacing w:val="-8"/>
        </w:rPr>
        <w:t> </w:t>
      </w:r>
      <w:r>
        <w:rPr>
          <w:color w:val="231F20"/>
        </w:rPr>
        <w:t>Proximal</w:t>
      </w:r>
      <w:r>
        <w:rPr>
          <w:color w:val="231F20"/>
          <w:spacing w:val="-8"/>
        </w:rPr>
        <w:t> </w:t>
      </w:r>
      <w:r>
        <w:rPr>
          <w:color w:val="231F20"/>
        </w:rPr>
        <w:t>alteration</w:t>
      </w:r>
      <w:r>
        <w:rPr>
          <w:color w:val="231F20"/>
          <w:spacing w:val="-8"/>
        </w:rPr>
        <w:t> </w:t>
      </w:r>
      <w:r>
        <w:rPr>
          <w:color w:val="231F20"/>
        </w:rPr>
        <w:t>associated</w:t>
      </w:r>
      <w:r>
        <w:rPr>
          <w:color w:val="231F20"/>
          <w:spacing w:val="-8"/>
        </w:rPr>
        <w:t> </w:t>
      </w:r>
      <w:r>
        <w:rPr>
          <w:color w:val="231F20"/>
        </w:rPr>
        <w:t>with</w:t>
      </w:r>
      <w:r>
        <w:rPr>
          <w:color w:val="231F20"/>
          <w:spacing w:val="-8"/>
        </w:rPr>
        <w:t> </w:t>
      </w:r>
      <w:r>
        <w:rPr>
          <w:color w:val="231F20"/>
        </w:rPr>
        <w:t>discordant</w:t>
      </w:r>
      <w:r>
        <w:rPr>
          <w:color w:val="231F20"/>
          <w:spacing w:val="-8"/>
        </w:rPr>
        <w:t> </w:t>
      </w:r>
      <w:r>
        <w:rPr>
          <w:color w:val="231F20"/>
        </w:rPr>
        <w:t>sul- phide-silicate stockwork vein systems includes chlorite- quartz-sulphide- or sericite-quartz-pyrite±aluminosilicate- rich</w:t>
      </w:r>
      <w:r>
        <w:rPr>
          <w:color w:val="231F20"/>
          <w:spacing w:val="-8"/>
        </w:rPr>
        <w:t> </w:t>
      </w:r>
      <w:r>
        <w:rPr>
          <w:color w:val="231F20"/>
        </w:rPr>
        <w:t>assemblages</w:t>
      </w:r>
      <w:r>
        <w:rPr>
          <w:color w:val="231F20"/>
          <w:spacing w:val="-8"/>
        </w:rPr>
        <w:t> </w:t>
      </w:r>
      <w:r>
        <w:rPr>
          <w:color w:val="231F20"/>
        </w:rPr>
        <w:t>and</w:t>
      </w:r>
      <w:r>
        <w:rPr>
          <w:color w:val="231F20"/>
          <w:spacing w:val="-8"/>
        </w:rPr>
        <w:t> </w:t>
      </w:r>
      <w:r>
        <w:rPr>
          <w:color w:val="231F20"/>
        </w:rPr>
        <w:t>is</w:t>
      </w:r>
      <w:r>
        <w:rPr>
          <w:color w:val="231F20"/>
          <w:spacing w:val="-8"/>
        </w:rPr>
        <w:t> </w:t>
      </w:r>
      <w:r>
        <w:rPr>
          <w:color w:val="231F20"/>
        </w:rPr>
        <w:t>typically</w:t>
      </w:r>
      <w:r>
        <w:rPr>
          <w:color w:val="231F20"/>
          <w:spacing w:val="-8"/>
        </w:rPr>
        <w:t> </w:t>
      </w:r>
      <w:r>
        <w:rPr>
          <w:color w:val="231F20"/>
        </w:rPr>
        <w:t>strongly</w:t>
      </w:r>
      <w:r>
        <w:rPr>
          <w:color w:val="231F20"/>
          <w:spacing w:val="-8"/>
        </w:rPr>
        <w:t> </w:t>
      </w:r>
      <w:r>
        <w:rPr>
          <w:color w:val="231F20"/>
        </w:rPr>
        <w:t>depleted</w:t>
      </w:r>
      <w:r>
        <w:rPr>
          <w:color w:val="231F20"/>
          <w:spacing w:val="-8"/>
        </w:rPr>
        <w:t> </w:t>
      </w:r>
      <w:r>
        <w:rPr>
          <w:color w:val="231F20"/>
        </w:rPr>
        <w:t>in</w:t>
      </w:r>
      <w:r>
        <w:rPr>
          <w:color w:val="231F20"/>
          <w:spacing w:val="-8"/>
        </w:rPr>
        <w:t> </w:t>
      </w:r>
      <w:r>
        <w:rPr>
          <w:color w:val="231F20"/>
        </w:rPr>
        <w:t>Na</w:t>
      </w:r>
      <w:r>
        <w:rPr>
          <w:color w:val="231F20"/>
          <w:spacing w:val="-8"/>
        </w:rPr>
        <w:t> </w:t>
      </w:r>
      <w:r>
        <w:rPr>
          <w:color w:val="231F20"/>
        </w:rPr>
        <w:t>and Ca due to high-temperature feldspar destruction. In addition to geochemical analysis, X-ray diffraction, PIMA, and oxy- gen isotope analysis can assist in vectoring towards higher temperature, proximal alteration zones and associated VMS mineralization. Although PIMA has been used most effec- tively</w:t>
      </w:r>
      <w:r>
        <w:rPr>
          <w:color w:val="231F20"/>
          <w:spacing w:val="-5"/>
        </w:rPr>
        <w:t> </w:t>
      </w:r>
      <w:r>
        <w:rPr>
          <w:color w:val="231F20"/>
        </w:rPr>
        <w:t>on</w:t>
      </w:r>
      <w:r>
        <w:rPr>
          <w:color w:val="231F20"/>
          <w:spacing w:val="-5"/>
        </w:rPr>
        <w:t> </w:t>
      </w:r>
      <w:r>
        <w:rPr>
          <w:color w:val="231F20"/>
        </w:rPr>
        <w:t>alteration</w:t>
      </w:r>
      <w:r>
        <w:rPr>
          <w:color w:val="231F20"/>
          <w:spacing w:val="-5"/>
        </w:rPr>
        <w:t> </w:t>
      </w:r>
      <w:r>
        <w:rPr>
          <w:color w:val="231F20"/>
        </w:rPr>
        <w:t>systems</w:t>
      </w:r>
      <w:r>
        <w:rPr>
          <w:color w:val="231F20"/>
          <w:spacing w:val="-5"/>
        </w:rPr>
        <w:t> </w:t>
      </w:r>
      <w:r>
        <w:rPr>
          <w:color w:val="231F20"/>
        </w:rPr>
        <w:t>that</w:t>
      </w:r>
      <w:r>
        <w:rPr>
          <w:color w:val="231F20"/>
          <w:spacing w:val="-5"/>
        </w:rPr>
        <w:t> </w:t>
      </w:r>
      <w:r>
        <w:rPr>
          <w:color w:val="231F20"/>
        </w:rPr>
        <w:t>contain</w:t>
      </w:r>
      <w:r>
        <w:rPr>
          <w:color w:val="231F20"/>
          <w:spacing w:val="-5"/>
        </w:rPr>
        <w:t> </w:t>
      </w:r>
      <w:r>
        <w:rPr>
          <w:color w:val="231F20"/>
        </w:rPr>
        <w:t>minerals</w:t>
      </w:r>
      <w:r>
        <w:rPr>
          <w:color w:val="231F20"/>
          <w:spacing w:val="-5"/>
        </w:rPr>
        <w:t> </w:t>
      </w:r>
      <w:r>
        <w:rPr>
          <w:color w:val="231F20"/>
        </w:rPr>
        <w:t>with</w:t>
      </w:r>
      <w:r>
        <w:rPr>
          <w:color w:val="231F20"/>
          <w:spacing w:val="-5"/>
        </w:rPr>
        <w:t> </w:t>
      </w:r>
      <w:r>
        <w:rPr>
          <w:color w:val="231F20"/>
        </w:rPr>
        <w:t>a</w:t>
      </w:r>
      <w:r>
        <w:rPr>
          <w:color w:val="231F20"/>
          <w:spacing w:val="-5"/>
        </w:rPr>
        <w:t> </w:t>
      </w:r>
      <w:r>
        <w:rPr>
          <w:color w:val="231F20"/>
        </w:rPr>
        <w:t>high reflective index, there has been some success in identifying </w:t>
      </w:r>
      <w:r>
        <w:rPr>
          <w:color w:val="231F20"/>
          <w:spacing w:val="1"/>
        </w:rPr>
        <w:t>greenschist-facies minerals </w:t>
      </w:r>
      <w:r>
        <w:rPr>
          <w:color w:val="231F20"/>
        </w:rPr>
        <w:t>within Precambrian </w:t>
      </w:r>
      <w:r>
        <w:rPr>
          <w:color w:val="231F20"/>
          <w:spacing w:val="1"/>
        </w:rPr>
        <w:t>VMS </w:t>
      </w:r>
      <w:r>
        <w:rPr>
          <w:color w:val="231F20"/>
        </w:rPr>
        <w:t>hydrothermal systems (Thompson et al.,</w:t>
      </w:r>
      <w:r>
        <w:rPr>
          <w:color w:val="231F20"/>
          <w:spacing w:val="20"/>
        </w:rPr>
        <w:t> </w:t>
      </w:r>
      <w:r>
        <w:rPr>
          <w:color w:val="231F20"/>
        </w:rPr>
        <w:t>1999)</w:t>
      </w:r>
    </w:p>
    <w:p>
      <w:pPr>
        <w:pStyle w:val="Heading1"/>
        <w:spacing w:before="143"/>
        <w:ind w:left="2792"/>
      </w:pPr>
      <w:r>
        <w:rPr>
          <w:color w:val="231F20"/>
        </w:rPr>
        <w:t>Knowledge Gaps</w:t>
      </w:r>
    </w:p>
    <w:p>
      <w:pPr>
        <w:pStyle w:val="BodyText"/>
        <w:spacing w:line="230" w:lineRule="auto" w:before="69"/>
        <w:ind w:left="1100" w:right="1" w:firstLine="216"/>
        <w:jc w:val="both"/>
      </w:pPr>
      <w:r>
        <w:rPr>
          <w:color w:val="231F20"/>
        </w:rPr>
        <w:t>Researchers have gathered an impressive amount of knowledge over the last ten years with respect to how, and where, VMS deposits form within various geodynamic regimes. This is due to a combination of studies of modern seafloor environments and detailed and regional-scale stud- ies of ancient VMS environments. These studies have allowed us to place VMS depositional environments within the context of diverse supra-subduction settings that can be identified in deformed and metamorphosed terranes through lithostratigraphic facies evaluation and lithogeochemical analyses. Prospective settings for subseafloor hydrothermal systems can now be determined through identification of synvolcanic intrusions that trigger the systems, geochemical variations in altered rocks and chemical sedimentary hori- zons, and the use of mineralogy, geochemistry, and isotope geology. The fundamental ingredient for the efficient use of</w:t>
      </w:r>
    </w:p>
    <w:p>
      <w:pPr>
        <w:pStyle w:val="BodyText"/>
        <w:spacing w:line="230" w:lineRule="auto" w:before="193"/>
        <w:ind w:left="315" w:right="1095"/>
        <w:jc w:val="both"/>
      </w:pPr>
      <w:r>
        <w:rPr/>
        <w:br w:type="column"/>
      </w:r>
      <w:r>
        <w:rPr>
          <w:color w:val="231F20"/>
        </w:rPr>
        <w:t>these tools is an appropriate level of understanding of the architecture of the volcanic terranes. Mapping at 1:20 thou- sand scale and complementary geochronological studies of the Flin Flon, Snow Lake, Leaf Rapids, and Bathurst</w:t>
      </w:r>
      <w:r>
        <w:rPr>
          <w:color w:val="231F20"/>
          <w:spacing w:val="-19"/>
        </w:rPr>
        <w:t> </w:t>
      </w:r>
      <w:r>
        <w:rPr>
          <w:color w:val="231F20"/>
        </w:rPr>
        <w:t>mining camps were key to understanding the evolution of the vari- ous VMS-hosting arc assemblages and at what period of time in this evolution the deposits formed. Detailed lithos- tratigraphic mapping was essential in unraveling deforma- tion histories and understanding the structural repetitions of prospective</w:t>
      </w:r>
      <w:r>
        <w:rPr>
          <w:color w:val="231F20"/>
          <w:spacing w:val="-9"/>
        </w:rPr>
        <w:t> </w:t>
      </w:r>
      <w:r>
        <w:rPr>
          <w:color w:val="231F20"/>
        </w:rPr>
        <w:t>ore</w:t>
      </w:r>
      <w:r>
        <w:rPr>
          <w:color w:val="231F20"/>
          <w:spacing w:val="-9"/>
        </w:rPr>
        <w:t> </w:t>
      </w:r>
      <w:r>
        <w:rPr>
          <w:color w:val="231F20"/>
        </w:rPr>
        <w:t>horizons.</w:t>
      </w:r>
      <w:r>
        <w:rPr>
          <w:color w:val="231F20"/>
          <w:spacing w:val="-20"/>
        </w:rPr>
        <w:t> </w:t>
      </w:r>
      <w:r>
        <w:rPr>
          <w:color w:val="231F20"/>
        </w:rPr>
        <w:t>At</w:t>
      </w:r>
      <w:r>
        <w:rPr>
          <w:color w:val="231F20"/>
          <w:spacing w:val="-9"/>
        </w:rPr>
        <w:t> </w:t>
      </w:r>
      <w:r>
        <w:rPr>
          <w:color w:val="231F20"/>
        </w:rPr>
        <w:t>larger</w:t>
      </w:r>
      <w:r>
        <w:rPr>
          <w:color w:val="231F20"/>
          <w:spacing w:val="-9"/>
        </w:rPr>
        <w:t> </w:t>
      </w:r>
      <w:r>
        <w:rPr>
          <w:color w:val="231F20"/>
        </w:rPr>
        <w:t>scales,</w:t>
      </w:r>
      <w:r>
        <w:rPr>
          <w:color w:val="231F20"/>
          <w:spacing w:val="-9"/>
        </w:rPr>
        <w:t> </w:t>
      </w:r>
      <w:r>
        <w:rPr>
          <w:color w:val="231F20"/>
        </w:rPr>
        <w:t>we</w:t>
      </w:r>
      <w:r>
        <w:rPr>
          <w:color w:val="231F20"/>
          <w:spacing w:val="-9"/>
        </w:rPr>
        <w:t> </w:t>
      </w:r>
      <w:r>
        <w:rPr>
          <w:color w:val="231F20"/>
        </w:rPr>
        <w:t>still</w:t>
      </w:r>
      <w:r>
        <w:rPr>
          <w:color w:val="231F20"/>
          <w:spacing w:val="-9"/>
        </w:rPr>
        <w:t> </w:t>
      </w:r>
      <w:r>
        <w:rPr>
          <w:color w:val="231F20"/>
        </w:rPr>
        <w:t>need</w:t>
      </w:r>
      <w:r>
        <w:rPr>
          <w:color w:val="231F20"/>
          <w:spacing w:val="-9"/>
        </w:rPr>
        <w:t> </w:t>
      </w:r>
      <w:r>
        <w:rPr>
          <w:color w:val="231F20"/>
        </w:rPr>
        <w:t>a</w:t>
      </w:r>
      <w:r>
        <w:rPr>
          <w:color w:val="231F20"/>
          <w:spacing w:val="-9"/>
        </w:rPr>
        <w:t> </w:t>
      </w:r>
      <w:r>
        <w:rPr>
          <w:color w:val="231F20"/>
        </w:rPr>
        <w:t>bet- ter understanding of the longevity of hydrothermal systems and the character and scale of fluid flow into both volcanic and sedimentary hanging-wall strata. </w:t>
      </w:r>
      <w:r>
        <w:rPr>
          <w:color w:val="231F20"/>
          <w:spacing w:val="-8"/>
        </w:rPr>
        <w:t>We </w:t>
      </w:r>
      <w:r>
        <w:rPr>
          <w:color w:val="231F20"/>
        </w:rPr>
        <w:t>also need a better understanding of how to prospect for VMS environments through thick drift cover using novel heavy mineral analysis and selective leach methods. Successful exploration under cover requires improved understanding of the processes of secondary and tertiary remobilization of metals and trace elements from a VMS deposit and its associated alteration system.</w:t>
      </w:r>
    </w:p>
    <w:p>
      <w:pPr>
        <w:pStyle w:val="Heading1"/>
        <w:spacing w:before="142"/>
        <w:ind w:left="628"/>
      </w:pPr>
      <w:r>
        <w:rPr>
          <w:color w:val="231F20"/>
        </w:rPr>
        <w:t>Some Areas of High Mineral Potential in Canada</w:t>
      </w:r>
    </w:p>
    <w:p>
      <w:pPr>
        <w:pStyle w:val="BodyText"/>
        <w:spacing w:line="230" w:lineRule="auto" w:before="70"/>
        <w:ind w:left="315" w:right="1094" w:firstLine="216"/>
        <w:jc w:val="both"/>
      </w:pPr>
      <w:r>
        <w:rPr>
          <w:color w:val="231F20"/>
        </w:rPr>
        <w:t>The recognition of new classes of high-sulphidation and shallow-water VMS deposits and their genetic association with differentiated magmatic suites in both calc-alkaline</w:t>
      </w:r>
      <w:r>
        <w:rPr>
          <w:color w:val="231F20"/>
          <w:spacing w:val="-28"/>
        </w:rPr>
        <w:t> </w:t>
      </w:r>
      <w:r>
        <w:rPr>
          <w:color w:val="231F20"/>
        </w:rPr>
        <w:t>and alkaline volcanic arcs opens up new terranes and volcanic environments to exploration that were previously</w:t>
      </w:r>
      <w:r>
        <w:rPr>
          <w:color w:val="231F20"/>
          <w:spacing w:val="-21"/>
        </w:rPr>
        <w:t> </w:t>
      </w:r>
      <w:r>
        <w:rPr>
          <w:color w:val="231F20"/>
        </w:rPr>
        <w:t>considered non-prospective for VMS. These environments include arc fronts and successor magmatic arcs in addition to primitive rifted-arc</w:t>
      </w:r>
      <w:r>
        <w:rPr>
          <w:color w:val="231F20"/>
          <w:spacing w:val="-9"/>
        </w:rPr>
        <w:t> </w:t>
      </w:r>
      <w:r>
        <w:rPr>
          <w:color w:val="231F20"/>
        </w:rPr>
        <w:t>and</w:t>
      </w:r>
      <w:r>
        <w:rPr>
          <w:color w:val="231F20"/>
          <w:spacing w:val="-9"/>
        </w:rPr>
        <w:t> </w:t>
      </w:r>
      <w:r>
        <w:rPr>
          <w:color w:val="231F20"/>
        </w:rPr>
        <w:t>back-arc</w:t>
      </w:r>
      <w:r>
        <w:rPr>
          <w:color w:val="231F20"/>
          <w:spacing w:val="-9"/>
        </w:rPr>
        <w:t> </w:t>
      </w:r>
      <w:r>
        <w:rPr>
          <w:color w:val="231F20"/>
        </w:rPr>
        <w:t>terranes.</w:t>
      </w:r>
      <w:r>
        <w:rPr>
          <w:color w:val="231F20"/>
          <w:spacing w:val="-9"/>
        </w:rPr>
        <w:t> </w:t>
      </w:r>
      <w:r>
        <w:rPr>
          <w:color w:val="231F20"/>
        </w:rPr>
        <w:t>Calc-alkaline</w:t>
      </w:r>
      <w:r>
        <w:rPr>
          <w:color w:val="231F20"/>
          <w:spacing w:val="-9"/>
        </w:rPr>
        <w:t> </w:t>
      </w:r>
      <w:r>
        <w:rPr>
          <w:color w:val="231F20"/>
        </w:rPr>
        <w:t>to</w:t>
      </w:r>
      <w:r>
        <w:rPr>
          <w:color w:val="231F20"/>
          <w:spacing w:val="-9"/>
        </w:rPr>
        <w:t> </w:t>
      </w:r>
      <w:r>
        <w:rPr>
          <w:color w:val="231F20"/>
        </w:rPr>
        <w:t>alkaline</w:t>
      </w:r>
      <w:r>
        <w:rPr>
          <w:color w:val="231F20"/>
          <w:spacing w:val="-9"/>
        </w:rPr>
        <w:t> </w:t>
      </w:r>
      <w:r>
        <w:rPr>
          <w:color w:val="231F20"/>
        </w:rPr>
        <w:t>ter- ranes, such as the Triassic Nicola Group and the Lower Jurassic Hazelton Group in British Columbia, should be revisited for atypical VMS deposits. Evolved parts of Archean greenstone terranes, in particular &gt;2.8 Ga terranes in which there was involvement of early sialic crust, should also be considered in this context, e.g. Frotet-Troilus Domain, Grand Nord, North Caribou, and western Slave subprovinces.</w:t>
      </w:r>
    </w:p>
    <w:p>
      <w:pPr>
        <w:pStyle w:val="BodyText"/>
        <w:spacing w:line="230" w:lineRule="auto" w:before="23"/>
        <w:ind w:left="315" w:right="1093" w:firstLine="216"/>
        <w:jc w:val="both"/>
      </w:pPr>
      <w:r>
        <w:rPr>
          <w:color w:val="231F20"/>
        </w:rPr>
        <w:t>Incipient rift environments of the Paleoproterozoic</w:t>
      </w:r>
      <w:r>
        <w:rPr>
          <w:color w:val="231F20"/>
          <w:spacing w:val="-34"/>
        </w:rPr>
        <w:t> </w:t>
      </w:r>
      <w:r>
        <w:rPr>
          <w:color w:val="231F20"/>
        </w:rPr>
        <w:t>Trans- Hudson Orogen: The presence of large volumes of iron for- mation and associated VMS mineralization in the Labrador Trough is evidence of extensive hydrothermal systems gen- erated in these 2.1 to 2.0 Ga rift systems on both margins of the orogen. Why did these not develop large VMS deposits as in </w:t>
      </w:r>
      <w:r>
        <w:rPr>
          <w:color w:val="231F20"/>
          <w:spacing w:val="1"/>
        </w:rPr>
        <w:t>other </w:t>
      </w:r>
      <w:r>
        <w:rPr>
          <w:color w:val="231F20"/>
        </w:rPr>
        <w:t>Fe-formation-rich </w:t>
      </w:r>
      <w:r>
        <w:rPr>
          <w:color w:val="231F20"/>
          <w:spacing w:val="1"/>
        </w:rPr>
        <w:t>environments </w:t>
      </w:r>
      <w:r>
        <w:rPr>
          <w:color w:val="231F20"/>
          <w:spacing w:val="2"/>
        </w:rPr>
        <w:t>(e.g. </w:t>
      </w:r>
      <w:r>
        <w:rPr>
          <w:color w:val="231F20"/>
        </w:rPr>
        <w:t>Manitouwadge)?</w:t>
      </w:r>
    </w:p>
    <w:p>
      <w:pPr>
        <w:pStyle w:val="BodyText"/>
        <w:spacing w:line="230" w:lineRule="auto" w:before="30"/>
        <w:ind w:left="315" w:right="1094" w:firstLine="216"/>
        <w:jc w:val="both"/>
      </w:pPr>
      <w:r>
        <w:rPr>
          <w:color w:val="231F20"/>
        </w:rPr>
        <w:t>Intrusions</w:t>
      </w:r>
      <w:r>
        <w:rPr>
          <w:color w:val="231F20"/>
          <w:spacing w:val="-9"/>
        </w:rPr>
        <w:t> </w:t>
      </w:r>
      <w:r>
        <w:rPr>
          <w:color w:val="231F20"/>
        </w:rPr>
        <w:t>associated</w:t>
      </w:r>
      <w:r>
        <w:rPr>
          <w:color w:val="231F20"/>
          <w:spacing w:val="-9"/>
        </w:rPr>
        <w:t> </w:t>
      </w:r>
      <w:r>
        <w:rPr>
          <w:color w:val="231F20"/>
        </w:rPr>
        <w:t>with</w:t>
      </w:r>
      <w:r>
        <w:rPr>
          <w:color w:val="231F20"/>
          <w:spacing w:val="-10"/>
        </w:rPr>
        <w:t> </w:t>
      </w:r>
      <w:r>
        <w:rPr>
          <w:color w:val="231F20"/>
        </w:rPr>
        <w:t>Ni-Cu-PGE</w:t>
      </w:r>
      <w:r>
        <w:rPr>
          <w:color w:val="231F20"/>
          <w:spacing w:val="-10"/>
        </w:rPr>
        <w:t> </w:t>
      </w:r>
      <w:r>
        <w:rPr>
          <w:color w:val="231F20"/>
        </w:rPr>
        <w:t>mineralization</w:t>
      </w:r>
      <w:r>
        <w:rPr>
          <w:color w:val="231F20"/>
          <w:spacing w:val="-9"/>
        </w:rPr>
        <w:t> </w:t>
      </w:r>
      <w:r>
        <w:rPr>
          <w:color w:val="231F20"/>
        </w:rPr>
        <w:t>rep- resent large volumes of magma, commonly emplaced at shallow</w:t>
      </w:r>
      <w:r>
        <w:rPr>
          <w:color w:val="231F20"/>
          <w:spacing w:val="-7"/>
        </w:rPr>
        <w:t> </w:t>
      </w:r>
      <w:r>
        <w:rPr>
          <w:color w:val="231F20"/>
        </w:rPr>
        <w:t>crustal</w:t>
      </w:r>
      <w:r>
        <w:rPr>
          <w:color w:val="231F20"/>
          <w:spacing w:val="-7"/>
        </w:rPr>
        <w:t> </w:t>
      </w:r>
      <w:r>
        <w:rPr>
          <w:color w:val="231F20"/>
        </w:rPr>
        <w:t>levels</w:t>
      </w:r>
      <w:r>
        <w:rPr>
          <w:color w:val="231F20"/>
          <w:spacing w:val="-7"/>
        </w:rPr>
        <w:t> </w:t>
      </w:r>
      <w:r>
        <w:rPr>
          <w:color w:val="231F20"/>
        </w:rPr>
        <w:t>as</w:t>
      </w:r>
      <w:r>
        <w:rPr>
          <w:color w:val="231F20"/>
          <w:spacing w:val="-7"/>
        </w:rPr>
        <w:t> </w:t>
      </w:r>
      <w:r>
        <w:rPr>
          <w:color w:val="231F20"/>
        </w:rPr>
        <w:t>part</w:t>
      </w:r>
      <w:r>
        <w:rPr>
          <w:color w:val="231F20"/>
          <w:spacing w:val="-7"/>
        </w:rPr>
        <w:t> </w:t>
      </w:r>
      <w:r>
        <w:rPr>
          <w:color w:val="231F20"/>
        </w:rPr>
        <w:t>of</w:t>
      </w:r>
      <w:r>
        <w:rPr>
          <w:color w:val="231F20"/>
          <w:spacing w:val="-7"/>
        </w:rPr>
        <w:t> </w:t>
      </w:r>
      <w:r>
        <w:rPr>
          <w:color w:val="231F20"/>
        </w:rPr>
        <w:t>volcano-plutonic</w:t>
      </w:r>
      <w:r>
        <w:rPr>
          <w:color w:val="231F20"/>
          <w:spacing w:val="-7"/>
        </w:rPr>
        <w:t> </w:t>
      </w:r>
      <w:r>
        <w:rPr>
          <w:color w:val="231F20"/>
        </w:rPr>
        <w:t>complexes. If emplaced in a subaqueous environment, these terranes should be highly prospective for mafic siliciclastic or mafic- dominated VMS deposits. These may include the submarine volcanic stratigraphy above the Fox River and Bird River sills in Manitoba and </w:t>
      </w:r>
      <w:r>
        <w:rPr>
          <w:color w:val="231F20"/>
          <w:spacing w:val="1"/>
        </w:rPr>
        <w:t>possibly </w:t>
      </w:r>
      <w:r>
        <w:rPr>
          <w:color w:val="231F20"/>
        </w:rPr>
        <w:t>the Bad Vermilion anorthositic complex in southwestern</w:t>
      </w:r>
      <w:r>
        <w:rPr>
          <w:color w:val="231F20"/>
          <w:spacing w:val="15"/>
        </w:rPr>
        <w:t> </w:t>
      </w:r>
      <w:r>
        <w:rPr>
          <w:color w:val="231F20"/>
        </w:rPr>
        <w:t>Ontario.</w:t>
      </w:r>
    </w:p>
    <w:p>
      <w:pPr>
        <w:pStyle w:val="BodyText"/>
        <w:spacing w:line="230" w:lineRule="auto" w:before="29"/>
        <w:ind w:left="315" w:right="1096" w:firstLine="216"/>
        <w:jc w:val="both"/>
      </w:pPr>
      <w:r>
        <w:rPr>
          <w:color w:val="231F20"/>
        </w:rPr>
        <w:t>Intra-continental back-arc environments have been recog- nized</w:t>
      </w:r>
      <w:r>
        <w:rPr>
          <w:color w:val="231F20"/>
          <w:spacing w:val="-5"/>
        </w:rPr>
        <w:t> </w:t>
      </w:r>
      <w:r>
        <w:rPr>
          <w:color w:val="231F20"/>
        </w:rPr>
        <w:t>as</w:t>
      </w:r>
      <w:r>
        <w:rPr>
          <w:color w:val="231F20"/>
          <w:spacing w:val="-5"/>
        </w:rPr>
        <w:t> </w:t>
      </w:r>
      <w:r>
        <w:rPr>
          <w:color w:val="231F20"/>
        </w:rPr>
        <w:t>highly</w:t>
      </w:r>
      <w:r>
        <w:rPr>
          <w:color w:val="231F20"/>
          <w:spacing w:val="-5"/>
        </w:rPr>
        <w:t> </w:t>
      </w:r>
      <w:r>
        <w:rPr>
          <w:color w:val="231F20"/>
        </w:rPr>
        <w:t>prospective</w:t>
      </w:r>
      <w:r>
        <w:rPr>
          <w:color w:val="231F20"/>
          <w:spacing w:val="-5"/>
        </w:rPr>
        <w:t> </w:t>
      </w:r>
      <w:r>
        <w:rPr>
          <w:color w:val="231F20"/>
        </w:rPr>
        <w:t>for</w:t>
      </w:r>
      <w:r>
        <w:rPr>
          <w:color w:val="231F20"/>
          <w:spacing w:val="-8"/>
        </w:rPr>
        <w:t> </w:t>
      </w:r>
      <w:r>
        <w:rPr>
          <w:color w:val="231F20"/>
        </w:rPr>
        <w:t>VMS</w:t>
      </w:r>
      <w:r>
        <w:rPr>
          <w:color w:val="231F20"/>
          <w:spacing w:val="-5"/>
        </w:rPr>
        <w:t> </w:t>
      </w:r>
      <w:r>
        <w:rPr>
          <w:color w:val="231F20"/>
        </w:rPr>
        <w:t>deposits.</w:t>
      </w:r>
      <w:r>
        <w:rPr>
          <w:color w:val="231F20"/>
          <w:spacing w:val="-8"/>
        </w:rPr>
        <w:t> </w:t>
      </w:r>
      <w:r>
        <w:rPr>
          <w:color w:val="231F20"/>
        </w:rPr>
        <w:t>Where</w:t>
      </w:r>
      <w:r>
        <w:rPr>
          <w:color w:val="231F20"/>
          <w:spacing w:val="-5"/>
        </w:rPr>
        <w:t> </w:t>
      </w:r>
      <w:r>
        <w:rPr>
          <w:color w:val="231F20"/>
        </w:rPr>
        <w:t>are</w:t>
      </w:r>
      <w:r>
        <w:rPr>
          <w:color w:val="231F20"/>
          <w:spacing w:val="-5"/>
        </w:rPr>
        <w:t> </w:t>
      </w:r>
      <w:r>
        <w:rPr>
          <w:color w:val="231F20"/>
        </w:rPr>
        <w:t>the continental back-arc environments in the Superior, Slave, and</w:t>
      </w:r>
      <w:r>
        <w:rPr>
          <w:color w:val="231F20"/>
          <w:spacing w:val="20"/>
        </w:rPr>
        <w:t> </w:t>
      </w:r>
      <w:r>
        <w:rPr>
          <w:color w:val="231F20"/>
        </w:rPr>
        <w:t>Grenville</w:t>
      </w:r>
      <w:r>
        <w:rPr>
          <w:color w:val="231F20"/>
          <w:spacing w:val="20"/>
        </w:rPr>
        <w:t> </w:t>
      </w:r>
      <w:r>
        <w:rPr>
          <w:color w:val="231F20"/>
        </w:rPr>
        <w:t>provinces?</w:t>
      </w:r>
      <w:r>
        <w:rPr>
          <w:color w:val="231F20"/>
          <w:spacing w:val="20"/>
        </w:rPr>
        <w:t> </w:t>
      </w:r>
      <w:r>
        <w:rPr>
          <w:color w:val="231F20"/>
        </w:rPr>
        <w:t>Have</w:t>
      </w:r>
      <w:r>
        <w:rPr>
          <w:color w:val="231F20"/>
          <w:spacing w:val="20"/>
        </w:rPr>
        <w:t> </w:t>
      </w:r>
      <w:r>
        <w:rPr>
          <w:color w:val="231F20"/>
        </w:rPr>
        <w:t>we</w:t>
      </w:r>
      <w:r>
        <w:rPr>
          <w:color w:val="231F20"/>
          <w:spacing w:val="20"/>
        </w:rPr>
        <w:t> </w:t>
      </w:r>
      <w:r>
        <w:rPr>
          <w:color w:val="231F20"/>
        </w:rPr>
        <w:t>explored</w:t>
      </w:r>
      <w:r>
        <w:rPr>
          <w:color w:val="231F20"/>
          <w:spacing w:val="20"/>
        </w:rPr>
        <w:t> </w:t>
      </w:r>
      <w:r>
        <w:rPr>
          <w:color w:val="231F20"/>
        </w:rPr>
        <w:t>enough</w:t>
      </w:r>
      <w:r>
        <w:rPr>
          <w:color w:val="231F20"/>
          <w:spacing w:val="20"/>
        </w:rPr>
        <w:t> </w:t>
      </w:r>
      <w:r>
        <w:rPr>
          <w:color w:val="231F20"/>
        </w:rPr>
        <w:t>in</w:t>
      </w:r>
      <w:r>
        <w:rPr>
          <w:color w:val="231F20"/>
          <w:spacing w:val="20"/>
        </w:rPr>
        <w:t> </w:t>
      </w:r>
      <w:r>
        <w:rPr>
          <w:color w:val="231F20"/>
        </w:rPr>
        <w:t>the</w:t>
      </w:r>
    </w:p>
    <w:p>
      <w:pPr>
        <w:pStyle w:val="BodyText"/>
        <w:spacing w:line="219" w:lineRule="exact"/>
        <w:ind w:left="315"/>
        <w:jc w:val="both"/>
      </w:pPr>
      <w:r>
        <w:rPr>
          <w:color w:val="231F20"/>
        </w:rPr>
        <w:t>&gt;2.8 or &lt;1.5 Ga terranes?</w:t>
      </w:r>
    </w:p>
    <w:p>
      <w:pPr>
        <w:spacing w:after="0" w:line="219" w:lineRule="exact"/>
        <w:jc w:val="both"/>
        <w:sectPr>
          <w:pgSz w:w="12240" w:h="15840"/>
          <w:pgMar w:header="673" w:footer="779" w:top="1000" w:bottom="960" w:left="0" w:right="0"/>
          <w:cols w:num="2" w:equalWidth="0">
            <w:col w:w="5945" w:space="40"/>
            <w:col w:w="6255"/>
          </w:cols>
        </w:sectPr>
      </w:pPr>
    </w:p>
    <w:p>
      <w:pPr>
        <w:pStyle w:val="BodyText"/>
        <w:spacing w:line="230" w:lineRule="auto" w:before="199"/>
        <w:ind w:left="1115" w:right="1" w:firstLine="216"/>
        <w:jc w:val="both"/>
      </w:pPr>
      <w:r>
        <w:rPr>
          <w:color w:val="231F20"/>
        </w:rPr>
        <w:t>Terranes affected by thin-skinned fold-thrust tectonics present special challenges for exploration but are also</w:t>
      </w:r>
      <w:r>
        <w:rPr>
          <w:color w:val="231F20"/>
          <w:spacing w:val="-24"/>
        </w:rPr>
        <w:t> </w:t>
      </w:r>
      <w:r>
        <w:rPr>
          <w:color w:val="231F20"/>
        </w:rPr>
        <w:t>highly prospective for VMS deposits. The potential for new explo- ration targets in areas such as the Central </w:t>
      </w:r>
      <w:r>
        <w:rPr>
          <w:color w:val="231F20"/>
          <w:spacing w:val="-4"/>
        </w:rPr>
        <w:t>Volcanic </w:t>
      </w:r>
      <w:r>
        <w:rPr>
          <w:color w:val="231F20"/>
        </w:rPr>
        <w:t>Belt of Newfoundland is high, and the lessons learned in the</w:t>
      </w:r>
      <w:r>
        <w:rPr>
          <w:color w:val="231F20"/>
          <w:spacing w:val="-20"/>
        </w:rPr>
        <w:t> </w:t>
      </w:r>
      <w:r>
        <w:rPr>
          <w:color w:val="231F20"/>
        </w:rPr>
        <w:t>Iberian Pyrite Belt with respect to exploring in such terranes can be applied in these and other similar terranes in</w:t>
      </w:r>
      <w:r>
        <w:rPr>
          <w:color w:val="231F20"/>
          <w:spacing w:val="35"/>
        </w:rPr>
        <w:t> </w:t>
      </w:r>
      <w:r>
        <w:rPr>
          <w:color w:val="231F20"/>
        </w:rPr>
        <w:t>Canada.</w:t>
      </w:r>
    </w:p>
    <w:p>
      <w:pPr>
        <w:pStyle w:val="BodyText"/>
        <w:spacing w:line="230" w:lineRule="auto" w:before="30"/>
        <w:ind w:left="1115" w:firstLine="216"/>
        <w:jc w:val="both"/>
      </w:pPr>
      <w:r>
        <w:rPr>
          <w:color w:val="231F20"/>
        </w:rPr>
        <w:t>The so-called oceanic terranes of British Columbia, such as the Triassic Slide Mountain and Cache Creek terrane, should</w:t>
      </w:r>
      <w:r>
        <w:rPr>
          <w:color w:val="231F20"/>
          <w:spacing w:val="-6"/>
        </w:rPr>
        <w:t> </w:t>
      </w:r>
      <w:r>
        <w:rPr>
          <w:color w:val="231F20"/>
        </w:rPr>
        <w:t>be</w:t>
      </w:r>
      <w:r>
        <w:rPr>
          <w:color w:val="231F20"/>
          <w:spacing w:val="-6"/>
        </w:rPr>
        <w:t> </w:t>
      </w:r>
      <w:r>
        <w:rPr>
          <w:color w:val="231F20"/>
        </w:rPr>
        <w:t>re-evaluated</w:t>
      </w:r>
      <w:r>
        <w:rPr>
          <w:color w:val="231F20"/>
          <w:spacing w:val="-6"/>
        </w:rPr>
        <w:t> </w:t>
      </w:r>
      <w:r>
        <w:rPr>
          <w:color w:val="231F20"/>
        </w:rPr>
        <w:t>for</w:t>
      </w:r>
      <w:r>
        <w:rPr>
          <w:color w:val="231F20"/>
          <w:spacing w:val="-6"/>
        </w:rPr>
        <w:t> </w:t>
      </w:r>
      <w:r>
        <w:rPr>
          <w:color w:val="231F20"/>
        </w:rPr>
        <w:t>their</w:t>
      </w:r>
      <w:r>
        <w:rPr>
          <w:color w:val="231F20"/>
          <w:spacing w:val="-9"/>
        </w:rPr>
        <w:t> </w:t>
      </w:r>
      <w:r>
        <w:rPr>
          <w:color w:val="231F20"/>
        </w:rPr>
        <w:t>VMS</w:t>
      </w:r>
      <w:r>
        <w:rPr>
          <w:color w:val="231F20"/>
          <w:spacing w:val="-6"/>
        </w:rPr>
        <w:t> </w:t>
      </w:r>
      <w:r>
        <w:rPr>
          <w:color w:val="231F20"/>
        </w:rPr>
        <w:t>potential</w:t>
      </w:r>
      <w:r>
        <w:rPr>
          <w:color w:val="231F20"/>
          <w:spacing w:val="-6"/>
        </w:rPr>
        <w:t> </w:t>
      </w:r>
      <w:r>
        <w:rPr>
          <w:color w:val="231F20"/>
        </w:rPr>
        <w:t>in</w:t>
      </w:r>
      <w:r>
        <w:rPr>
          <w:color w:val="231F20"/>
          <w:spacing w:val="-6"/>
        </w:rPr>
        <w:t> </w:t>
      </w:r>
      <w:r>
        <w:rPr>
          <w:color w:val="231F20"/>
        </w:rPr>
        <w:t>light</w:t>
      </w:r>
      <w:r>
        <w:rPr>
          <w:color w:val="231F20"/>
          <w:spacing w:val="-6"/>
        </w:rPr>
        <w:t> </w:t>
      </w:r>
      <w:r>
        <w:rPr>
          <w:color w:val="231F20"/>
        </w:rPr>
        <w:t>of</w:t>
      </w:r>
      <w:r>
        <w:rPr>
          <w:color w:val="231F20"/>
          <w:spacing w:val="-6"/>
        </w:rPr>
        <w:t> </w:t>
      </w:r>
      <w:r>
        <w:rPr>
          <w:color w:val="231F20"/>
        </w:rPr>
        <w:t>the possibility that they represent back-arc and not ocean-basin environments. The presence of boninite and subvolcanic tonalite-trondhjemite intrusions ± rhyolites in these terranes would be key indicators of possible arc-back-arc systems. Boninite, in particular, is an indication of a depleted mantle source typical of nascent to back-arc regimes (Crawford et al., 1989; Stern et al., 1995; Kerrich at al., 1998; Piercey et al.,</w:t>
      </w:r>
      <w:r>
        <w:rPr>
          <w:color w:val="231F20"/>
          <w:spacing w:val="5"/>
        </w:rPr>
        <w:t> </w:t>
      </w:r>
      <w:r>
        <w:rPr>
          <w:color w:val="231F20"/>
        </w:rPr>
        <w:t>2001).</w:t>
      </w:r>
    </w:p>
    <w:p>
      <w:pPr>
        <w:pStyle w:val="Heading1"/>
        <w:spacing w:before="150"/>
        <w:ind w:left="2707"/>
      </w:pPr>
      <w:r>
        <w:rPr>
          <w:color w:val="231F20"/>
        </w:rPr>
        <w:t>Acknowledgements</w:t>
      </w:r>
    </w:p>
    <w:p>
      <w:pPr>
        <w:pStyle w:val="BodyText"/>
        <w:spacing w:line="230" w:lineRule="auto" w:before="69"/>
        <w:ind w:left="1115" w:right="1" w:firstLine="216"/>
        <w:jc w:val="both"/>
      </w:pPr>
      <w:r>
        <w:rPr>
          <w:color w:val="231F20"/>
        </w:rPr>
        <w:t>The authors would like to thank many of our colleagues whose ideas and discussions helped summarize the charac- teristics of this fascinating deposit type. They include Jim Franklin, Wayne Goodfellow, Steve Piercey, Jan Peter, Benoit Dubé, and Harold Gibson. Jan Peter, and Steve Piercey are thanked for their insightful reviews of the manu- script.</w:t>
      </w:r>
    </w:p>
    <w:p>
      <w:pPr>
        <w:pStyle w:val="Heading1"/>
        <w:spacing w:before="153"/>
        <w:ind w:left="3070"/>
      </w:pPr>
      <w:r>
        <w:rPr>
          <w:color w:val="231F20"/>
        </w:rPr>
        <w:t>References</w:t>
      </w:r>
    </w:p>
    <w:p>
      <w:pPr>
        <w:spacing w:line="230" w:lineRule="auto" w:before="106"/>
        <w:ind w:left="1403" w:right="0" w:hanging="288"/>
        <w:jc w:val="both"/>
        <w:rPr>
          <w:sz w:val="16"/>
        </w:rPr>
      </w:pPr>
      <w:r>
        <w:rPr>
          <w:color w:val="231F20"/>
          <w:sz w:val="16"/>
        </w:rPr>
        <w:t>Aggarwal,</w:t>
      </w:r>
      <w:r>
        <w:rPr>
          <w:color w:val="231F20"/>
          <w:spacing w:val="-7"/>
          <w:sz w:val="16"/>
        </w:rPr>
        <w:t> </w:t>
      </w:r>
      <w:r>
        <w:rPr>
          <w:color w:val="231F20"/>
          <w:spacing w:val="-4"/>
          <w:sz w:val="16"/>
        </w:rPr>
        <w:t>P.K.,</w:t>
      </w:r>
      <w:r>
        <w:rPr>
          <w:color w:val="231F20"/>
          <w:spacing w:val="-7"/>
          <w:sz w:val="16"/>
        </w:rPr>
        <w:t> </w:t>
      </w:r>
      <w:r>
        <w:rPr>
          <w:color w:val="231F20"/>
          <w:sz w:val="16"/>
        </w:rPr>
        <w:t>and</w:t>
      </w:r>
      <w:r>
        <w:rPr>
          <w:color w:val="231F20"/>
          <w:spacing w:val="-7"/>
          <w:sz w:val="16"/>
        </w:rPr>
        <w:t> </w:t>
      </w:r>
      <w:r>
        <w:rPr>
          <w:color w:val="231F20"/>
          <w:sz w:val="16"/>
        </w:rPr>
        <w:t>Longstaffe,</w:t>
      </w:r>
      <w:r>
        <w:rPr>
          <w:color w:val="231F20"/>
          <w:spacing w:val="-7"/>
          <w:sz w:val="16"/>
        </w:rPr>
        <w:t> </w:t>
      </w:r>
      <w:r>
        <w:rPr>
          <w:color w:val="231F20"/>
          <w:spacing w:val="-3"/>
          <w:sz w:val="16"/>
        </w:rPr>
        <w:t>F.J.,</w:t>
      </w:r>
      <w:r>
        <w:rPr>
          <w:color w:val="231F20"/>
          <w:spacing w:val="-7"/>
          <w:sz w:val="16"/>
        </w:rPr>
        <w:t> </w:t>
      </w:r>
      <w:r>
        <w:rPr>
          <w:color w:val="231F20"/>
          <w:sz w:val="16"/>
        </w:rPr>
        <w:t>1987,</w:t>
      </w:r>
      <w:r>
        <w:rPr>
          <w:color w:val="231F20"/>
          <w:spacing w:val="-7"/>
          <w:sz w:val="16"/>
        </w:rPr>
        <w:t> </w:t>
      </w:r>
      <w:r>
        <w:rPr>
          <w:color w:val="231F20"/>
          <w:sz w:val="16"/>
        </w:rPr>
        <w:t>Oxygen</w:t>
      </w:r>
      <w:r>
        <w:rPr>
          <w:color w:val="231F20"/>
          <w:spacing w:val="-7"/>
          <w:sz w:val="16"/>
        </w:rPr>
        <w:t> </w:t>
      </w:r>
      <w:r>
        <w:rPr>
          <w:color w:val="231F20"/>
          <w:sz w:val="16"/>
        </w:rPr>
        <w:t>isotope</w:t>
      </w:r>
      <w:r>
        <w:rPr>
          <w:color w:val="231F20"/>
          <w:spacing w:val="-7"/>
          <w:sz w:val="16"/>
        </w:rPr>
        <w:t> </w:t>
      </w:r>
      <w:r>
        <w:rPr>
          <w:color w:val="231F20"/>
          <w:sz w:val="16"/>
        </w:rPr>
        <w:t>geochemistry</w:t>
      </w:r>
      <w:r>
        <w:rPr>
          <w:color w:val="231F20"/>
          <w:spacing w:val="-7"/>
          <w:sz w:val="16"/>
        </w:rPr>
        <w:t> </w:t>
      </w:r>
      <w:r>
        <w:rPr>
          <w:color w:val="231F20"/>
          <w:sz w:val="16"/>
        </w:rPr>
        <w:t>of metamorphosed massive sulfide deposits of the Flin Flon-Snow Lake Belt, Manitoba: Contributions to  Mineralogy  and  Petrology,  </w:t>
      </w:r>
      <w:r>
        <w:rPr>
          <w:color w:val="231F20"/>
          <w:spacing w:val="-6"/>
          <w:sz w:val="16"/>
        </w:rPr>
        <w:t>v.  </w:t>
      </w:r>
      <w:r>
        <w:rPr>
          <w:color w:val="231F20"/>
          <w:sz w:val="16"/>
        </w:rPr>
        <w:t>96, p.</w:t>
      </w:r>
      <w:r>
        <w:rPr>
          <w:color w:val="231F20"/>
          <w:spacing w:val="2"/>
          <w:sz w:val="16"/>
        </w:rPr>
        <w:t> </w:t>
      </w:r>
      <w:r>
        <w:rPr>
          <w:color w:val="231F20"/>
          <w:sz w:val="16"/>
        </w:rPr>
        <w:t>314-325.</w:t>
      </w:r>
    </w:p>
    <w:p>
      <w:pPr>
        <w:spacing w:line="230" w:lineRule="auto" w:before="27"/>
        <w:ind w:left="1403" w:right="0" w:hanging="288"/>
        <w:jc w:val="both"/>
        <w:rPr>
          <w:sz w:val="16"/>
        </w:rPr>
      </w:pPr>
      <w:r>
        <w:rPr>
          <w:color w:val="231F20"/>
          <w:sz w:val="16"/>
        </w:rPr>
        <w:t>Allen, R.L., Lundström, I., Ripa, M., </w:t>
      </w:r>
      <w:r>
        <w:rPr>
          <w:color w:val="231F20"/>
          <w:spacing w:val="-2"/>
          <w:sz w:val="16"/>
        </w:rPr>
        <w:t>Simeonov, </w:t>
      </w:r>
      <w:r>
        <w:rPr>
          <w:color w:val="231F20"/>
          <w:sz w:val="16"/>
        </w:rPr>
        <w:t>A., Christofferson, H., 1996a, Facies analysis of a 1.9 Ga, continental margin, back arc, felsic caldera province with diverse Zn-Pb-Ag (Cu-Au) sulfide and Fe oxide deposits,</w:t>
      </w:r>
      <w:r>
        <w:rPr>
          <w:color w:val="231F20"/>
          <w:spacing w:val="-6"/>
          <w:sz w:val="16"/>
        </w:rPr>
        <w:t> </w:t>
      </w:r>
      <w:r>
        <w:rPr>
          <w:color w:val="231F20"/>
          <w:sz w:val="16"/>
        </w:rPr>
        <w:t>Bergslagen</w:t>
      </w:r>
      <w:r>
        <w:rPr>
          <w:color w:val="231F20"/>
          <w:spacing w:val="-6"/>
          <w:sz w:val="16"/>
        </w:rPr>
        <w:t> </w:t>
      </w:r>
      <w:r>
        <w:rPr>
          <w:color w:val="231F20"/>
          <w:sz w:val="16"/>
        </w:rPr>
        <w:t>region,</w:t>
      </w:r>
      <w:r>
        <w:rPr>
          <w:color w:val="231F20"/>
          <w:spacing w:val="-6"/>
          <w:sz w:val="16"/>
        </w:rPr>
        <w:t> </w:t>
      </w:r>
      <w:r>
        <w:rPr>
          <w:color w:val="231F20"/>
          <w:sz w:val="16"/>
        </w:rPr>
        <w:t>Sweden:</w:t>
      </w:r>
      <w:r>
        <w:rPr>
          <w:color w:val="231F20"/>
          <w:spacing w:val="-6"/>
          <w:sz w:val="16"/>
        </w:rPr>
        <w:t> </w:t>
      </w:r>
      <w:r>
        <w:rPr>
          <w:color w:val="231F20"/>
          <w:sz w:val="16"/>
        </w:rPr>
        <w:t>Economic</w:t>
      </w:r>
      <w:r>
        <w:rPr>
          <w:color w:val="231F20"/>
          <w:spacing w:val="-6"/>
          <w:sz w:val="16"/>
        </w:rPr>
        <w:t> </w:t>
      </w:r>
      <w:r>
        <w:rPr>
          <w:color w:val="231F20"/>
          <w:spacing w:val="-3"/>
          <w:sz w:val="16"/>
        </w:rPr>
        <w:t>Geology,</w:t>
      </w:r>
      <w:r>
        <w:rPr>
          <w:color w:val="231F20"/>
          <w:spacing w:val="-6"/>
          <w:sz w:val="16"/>
        </w:rPr>
        <w:t> v. </w:t>
      </w:r>
      <w:r>
        <w:rPr>
          <w:color w:val="231F20"/>
          <w:sz w:val="16"/>
        </w:rPr>
        <w:t>91,</w:t>
      </w:r>
      <w:r>
        <w:rPr>
          <w:color w:val="231F20"/>
          <w:spacing w:val="-6"/>
          <w:sz w:val="16"/>
        </w:rPr>
        <w:t> </w:t>
      </w:r>
      <w:r>
        <w:rPr>
          <w:color w:val="231F20"/>
          <w:sz w:val="16"/>
        </w:rPr>
        <w:t>p.</w:t>
      </w:r>
      <w:r>
        <w:rPr>
          <w:color w:val="231F20"/>
          <w:spacing w:val="-6"/>
          <w:sz w:val="16"/>
        </w:rPr>
        <w:t> </w:t>
      </w:r>
      <w:r>
        <w:rPr>
          <w:color w:val="231F20"/>
          <w:sz w:val="16"/>
        </w:rPr>
        <w:t>979- 1008.</w:t>
      </w:r>
    </w:p>
    <w:p>
      <w:pPr>
        <w:spacing w:line="230" w:lineRule="auto" w:before="25"/>
        <w:ind w:left="1403" w:right="1" w:hanging="288"/>
        <w:jc w:val="both"/>
        <w:rPr>
          <w:sz w:val="16"/>
        </w:rPr>
      </w:pPr>
      <w:r>
        <w:rPr>
          <w:color w:val="231F20"/>
          <w:sz w:val="16"/>
        </w:rPr>
        <w:t>Allen, R. L., Weihed, </w:t>
      </w:r>
      <w:r>
        <w:rPr>
          <w:color w:val="231F20"/>
          <w:spacing w:val="-6"/>
          <w:sz w:val="16"/>
        </w:rPr>
        <w:t>P., </w:t>
      </w:r>
      <w:r>
        <w:rPr>
          <w:color w:val="231F20"/>
          <w:sz w:val="16"/>
        </w:rPr>
        <w:t>and Svesen, S-A, 1996b, Setting of Zn-Cu-Au-Ag massive</w:t>
      </w:r>
      <w:r>
        <w:rPr>
          <w:color w:val="231F20"/>
          <w:spacing w:val="-6"/>
          <w:sz w:val="16"/>
        </w:rPr>
        <w:t> </w:t>
      </w:r>
      <w:r>
        <w:rPr>
          <w:color w:val="231F20"/>
          <w:sz w:val="16"/>
        </w:rPr>
        <w:t>sulfide</w:t>
      </w:r>
      <w:r>
        <w:rPr>
          <w:color w:val="231F20"/>
          <w:spacing w:val="-6"/>
          <w:sz w:val="16"/>
        </w:rPr>
        <w:t> </w:t>
      </w:r>
      <w:r>
        <w:rPr>
          <w:color w:val="231F20"/>
          <w:sz w:val="16"/>
        </w:rPr>
        <w:t>deposits</w:t>
      </w:r>
      <w:r>
        <w:rPr>
          <w:color w:val="231F20"/>
          <w:spacing w:val="-6"/>
          <w:sz w:val="16"/>
        </w:rPr>
        <w:t> </w:t>
      </w:r>
      <w:r>
        <w:rPr>
          <w:color w:val="231F20"/>
          <w:sz w:val="16"/>
        </w:rPr>
        <w:t>in</w:t>
      </w:r>
      <w:r>
        <w:rPr>
          <w:color w:val="231F20"/>
          <w:spacing w:val="-6"/>
          <w:sz w:val="16"/>
        </w:rPr>
        <w:t> </w:t>
      </w:r>
      <w:r>
        <w:rPr>
          <w:color w:val="231F20"/>
          <w:sz w:val="16"/>
        </w:rPr>
        <w:t>the</w:t>
      </w:r>
      <w:r>
        <w:rPr>
          <w:color w:val="231F20"/>
          <w:spacing w:val="-6"/>
          <w:sz w:val="16"/>
        </w:rPr>
        <w:t> </w:t>
      </w:r>
      <w:r>
        <w:rPr>
          <w:color w:val="231F20"/>
          <w:sz w:val="16"/>
        </w:rPr>
        <w:t>evolution</w:t>
      </w:r>
      <w:r>
        <w:rPr>
          <w:color w:val="231F20"/>
          <w:spacing w:val="-6"/>
          <w:sz w:val="16"/>
        </w:rPr>
        <w:t> </w:t>
      </w:r>
      <w:r>
        <w:rPr>
          <w:color w:val="231F20"/>
          <w:sz w:val="16"/>
        </w:rPr>
        <w:t>and</w:t>
      </w:r>
      <w:r>
        <w:rPr>
          <w:color w:val="231F20"/>
          <w:spacing w:val="-6"/>
          <w:sz w:val="16"/>
        </w:rPr>
        <w:t> </w:t>
      </w:r>
      <w:r>
        <w:rPr>
          <w:color w:val="231F20"/>
          <w:sz w:val="16"/>
        </w:rPr>
        <w:t>facies</w:t>
      </w:r>
      <w:r>
        <w:rPr>
          <w:color w:val="231F20"/>
          <w:spacing w:val="-6"/>
          <w:sz w:val="16"/>
        </w:rPr>
        <w:t> </w:t>
      </w:r>
      <w:r>
        <w:rPr>
          <w:color w:val="231F20"/>
          <w:sz w:val="16"/>
        </w:rPr>
        <w:t>architecture</w:t>
      </w:r>
      <w:r>
        <w:rPr>
          <w:color w:val="231F20"/>
          <w:spacing w:val="-6"/>
          <w:sz w:val="16"/>
        </w:rPr>
        <w:t> </w:t>
      </w:r>
      <w:r>
        <w:rPr>
          <w:color w:val="231F20"/>
          <w:sz w:val="16"/>
        </w:rPr>
        <w:t>of</w:t>
      </w:r>
      <w:r>
        <w:rPr>
          <w:color w:val="231F20"/>
          <w:spacing w:val="-6"/>
          <w:sz w:val="16"/>
        </w:rPr>
        <w:t> </w:t>
      </w:r>
      <w:r>
        <w:rPr>
          <w:color w:val="231F20"/>
          <w:sz w:val="16"/>
        </w:rPr>
        <w:t>a</w:t>
      </w:r>
      <w:r>
        <w:rPr>
          <w:color w:val="231F20"/>
          <w:spacing w:val="-6"/>
          <w:sz w:val="16"/>
        </w:rPr>
        <w:t> </w:t>
      </w:r>
      <w:r>
        <w:rPr>
          <w:color w:val="231F20"/>
          <w:sz w:val="16"/>
        </w:rPr>
        <w:t>1.9 Ga marine volcanic arc, Skellefte district, Sweden: Economic </w:t>
      </w:r>
      <w:r>
        <w:rPr>
          <w:color w:val="231F20"/>
          <w:spacing w:val="-3"/>
          <w:sz w:val="16"/>
        </w:rPr>
        <w:t>Geology, </w:t>
      </w:r>
      <w:r>
        <w:rPr>
          <w:color w:val="231F20"/>
          <w:spacing w:val="-6"/>
          <w:sz w:val="16"/>
        </w:rPr>
        <w:t>v. </w:t>
      </w:r>
      <w:r>
        <w:rPr>
          <w:color w:val="231F20"/>
          <w:sz w:val="16"/>
        </w:rPr>
        <w:t>91, p.</w:t>
      </w:r>
      <w:r>
        <w:rPr>
          <w:color w:val="231F20"/>
          <w:spacing w:val="16"/>
          <w:sz w:val="16"/>
        </w:rPr>
        <w:t> </w:t>
      </w:r>
      <w:r>
        <w:rPr>
          <w:color w:val="231F20"/>
          <w:sz w:val="16"/>
        </w:rPr>
        <w:t>1022-1053.</w:t>
      </w:r>
    </w:p>
    <w:p>
      <w:pPr>
        <w:spacing w:line="230" w:lineRule="auto" w:before="27"/>
        <w:ind w:left="1403" w:right="0" w:hanging="288"/>
        <w:jc w:val="both"/>
        <w:rPr>
          <w:sz w:val="16"/>
        </w:rPr>
      </w:pPr>
      <w:r>
        <w:rPr>
          <w:color w:val="231F20"/>
          <w:sz w:val="16"/>
        </w:rPr>
        <w:t>Allen, R.L., Weihed, P., and Global VMS Research Project Team, 2002, Global comparisons of volcanic-associated massive sulphide districts, </w:t>
      </w:r>
      <w:r>
        <w:rPr>
          <w:i/>
          <w:color w:val="231F20"/>
          <w:sz w:val="16"/>
        </w:rPr>
        <w:t>in </w:t>
      </w:r>
      <w:r>
        <w:rPr>
          <w:color w:val="231F20"/>
          <w:sz w:val="16"/>
        </w:rPr>
        <w:t>Blundell, D.J., Neubauer, F., and Von Quadt, A., eds., The Timing and Location of Major Ore Deposits in an Evolving Orogen: Geological Society of London Special Publication 204, p. 13-37.</w:t>
      </w:r>
    </w:p>
    <w:p>
      <w:pPr>
        <w:spacing w:line="230" w:lineRule="auto" w:before="25"/>
        <w:ind w:left="1403" w:right="0" w:hanging="288"/>
        <w:jc w:val="both"/>
        <w:rPr>
          <w:sz w:val="16"/>
        </w:rPr>
      </w:pPr>
      <w:r>
        <w:rPr>
          <w:color w:val="231F20"/>
          <w:sz w:val="16"/>
        </w:rPr>
        <w:t>Alt,</w:t>
      </w:r>
      <w:r>
        <w:rPr>
          <w:color w:val="231F20"/>
          <w:spacing w:val="-8"/>
          <w:sz w:val="16"/>
        </w:rPr>
        <w:t> </w:t>
      </w:r>
      <w:r>
        <w:rPr>
          <w:color w:val="231F20"/>
          <w:sz w:val="16"/>
        </w:rPr>
        <w:t>J.C.,</w:t>
      </w:r>
      <w:r>
        <w:rPr>
          <w:color w:val="231F20"/>
          <w:spacing w:val="-8"/>
          <w:sz w:val="16"/>
        </w:rPr>
        <w:t> </w:t>
      </w:r>
      <w:r>
        <w:rPr>
          <w:color w:val="231F20"/>
          <w:sz w:val="16"/>
        </w:rPr>
        <w:t>1995,</w:t>
      </w:r>
      <w:r>
        <w:rPr>
          <w:color w:val="231F20"/>
          <w:spacing w:val="-8"/>
          <w:sz w:val="16"/>
        </w:rPr>
        <w:t> </w:t>
      </w:r>
      <w:r>
        <w:rPr>
          <w:color w:val="231F20"/>
          <w:sz w:val="16"/>
        </w:rPr>
        <w:t>Subseafloor</w:t>
      </w:r>
      <w:r>
        <w:rPr>
          <w:color w:val="231F20"/>
          <w:spacing w:val="-8"/>
          <w:sz w:val="16"/>
        </w:rPr>
        <w:t> </w:t>
      </w:r>
      <w:r>
        <w:rPr>
          <w:color w:val="231F20"/>
          <w:sz w:val="16"/>
        </w:rPr>
        <w:t>processes</w:t>
      </w:r>
      <w:r>
        <w:rPr>
          <w:color w:val="231F20"/>
          <w:spacing w:val="-8"/>
          <w:sz w:val="16"/>
        </w:rPr>
        <w:t> </w:t>
      </w:r>
      <w:r>
        <w:rPr>
          <w:color w:val="231F20"/>
          <w:sz w:val="16"/>
        </w:rPr>
        <w:t>in</w:t>
      </w:r>
      <w:r>
        <w:rPr>
          <w:color w:val="231F20"/>
          <w:spacing w:val="-8"/>
          <w:sz w:val="16"/>
        </w:rPr>
        <w:t> </w:t>
      </w:r>
      <w:r>
        <w:rPr>
          <w:color w:val="231F20"/>
          <w:sz w:val="16"/>
        </w:rPr>
        <w:t>mid-ocean</w:t>
      </w:r>
      <w:r>
        <w:rPr>
          <w:color w:val="231F20"/>
          <w:spacing w:val="-8"/>
          <w:sz w:val="16"/>
        </w:rPr>
        <w:t> </w:t>
      </w:r>
      <w:r>
        <w:rPr>
          <w:color w:val="231F20"/>
          <w:sz w:val="16"/>
        </w:rPr>
        <w:t>ridge</w:t>
      </w:r>
      <w:r>
        <w:rPr>
          <w:color w:val="231F20"/>
          <w:spacing w:val="-8"/>
          <w:sz w:val="16"/>
        </w:rPr>
        <w:t> </w:t>
      </w:r>
      <w:r>
        <w:rPr>
          <w:color w:val="231F20"/>
          <w:sz w:val="16"/>
        </w:rPr>
        <w:t>hydrothermal</w:t>
      </w:r>
      <w:r>
        <w:rPr>
          <w:color w:val="231F20"/>
          <w:spacing w:val="-8"/>
          <w:sz w:val="16"/>
        </w:rPr>
        <w:t> </w:t>
      </w:r>
      <w:r>
        <w:rPr>
          <w:color w:val="231F20"/>
          <w:sz w:val="16"/>
        </w:rPr>
        <w:t>sys- tems, </w:t>
      </w:r>
      <w:r>
        <w:rPr>
          <w:i/>
          <w:color w:val="231F20"/>
          <w:sz w:val="16"/>
        </w:rPr>
        <w:t>in </w:t>
      </w:r>
      <w:r>
        <w:rPr>
          <w:color w:val="231F20"/>
          <w:sz w:val="16"/>
        </w:rPr>
        <w:t>Humphris, S., ed., Seafloor Hydrothermal Systems: Physical, Chemical, Biological, and Geological Interactions: American Geophysical Union Monograph 91, p.</w:t>
      </w:r>
      <w:r>
        <w:rPr>
          <w:color w:val="231F20"/>
          <w:spacing w:val="12"/>
          <w:sz w:val="16"/>
        </w:rPr>
        <w:t> </w:t>
      </w:r>
      <w:r>
        <w:rPr>
          <w:color w:val="231F20"/>
          <w:sz w:val="16"/>
        </w:rPr>
        <w:t>85-114.</w:t>
      </w:r>
    </w:p>
    <w:p>
      <w:pPr>
        <w:spacing w:line="230" w:lineRule="auto" w:before="27"/>
        <w:ind w:left="1403" w:right="1" w:hanging="288"/>
        <w:jc w:val="both"/>
        <w:rPr>
          <w:sz w:val="16"/>
        </w:rPr>
      </w:pPr>
      <w:r>
        <w:rPr>
          <w:color w:val="231F20"/>
          <w:sz w:val="16"/>
        </w:rPr>
        <w:t>Bailes, A.H., and Galley, A.G., 1999, Evolution of the Paleoproterozoic Snow Lake arc assemblage and geodynamic setting for associated vol- canic-hosted massive sulfide deposits, Flin Flon Belt, Manitoba, Canada: Canadian Journal of Earth Science, v. 36, p. 1789-1805.</w:t>
      </w:r>
    </w:p>
    <w:p>
      <w:pPr>
        <w:spacing w:line="230" w:lineRule="auto" w:before="26"/>
        <w:ind w:left="1403" w:right="0" w:hanging="288"/>
        <w:jc w:val="both"/>
        <w:rPr>
          <w:sz w:val="16"/>
        </w:rPr>
      </w:pPr>
      <w:r>
        <w:rPr>
          <w:color w:val="231F20"/>
          <w:sz w:val="16"/>
        </w:rPr>
        <w:t>Barrett, T.J., and Sherlock, R.L, 1996a, Volcanic stratigraphy, lithogeo- chemistry, and seafloor setting of the H-W massive sulfide deposit, Myra Falls, Vancouver Island, British Columbia: Exploration and Mining Geology, v. 5, p. 421-458.</w:t>
      </w:r>
    </w:p>
    <w:p>
      <w:pPr>
        <w:spacing w:line="230" w:lineRule="auto" w:before="26"/>
        <w:ind w:left="1403" w:right="1" w:hanging="288"/>
        <w:jc w:val="both"/>
        <w:rPr>
          <w:sz w:val="16"/>
        </w:rPr>
      </w:pPr>
      <w:r>
        <w:rPr>
          <w:color w:val="231F20"/>
          <w:sz w:val="16"/>
        </w:rPr>
        <w:t>——— 1996b, Geology, lithogeochemistry, and volcanic setting of the Eskay Creek Au-Ag-Cu-Zn deposit, northern British Columbia: Exploration and Mining Geology, v. 5, p.339-368.</w:t>
      </w:r>
    </w:p>
    <w:p>
      <w:pPr>
        <w:spacing w:line="230" w:lineRule="auto" w:before="27"/>
        <w:ind w:left="1403" w:right="1" w:hanging="288"/>
        <w:jc w:val="both"/>
        <w:rPr>
          <w:sz w:val="16"/>
        </w:rPr>
      </w:pPr>
      <w:r>
        <w:rPr>
          <w:color w:val="231F20"/>
          <w:sz w:val="16"/>
        </w:rPr>
        <w:t>Barrie, C.T., 1995, Zircon thermometry of high-temperature rhyolites near volcanic-associated sulfide deposits: Geology, v. 23, p. 169-172.</w:t>
      </w:r>
    </w:p>
    <w:p>
      <w:pPr>
        <w:spacing w:line="230" w:lineRule="auto" w:before="28"/>
        <w:ind w:left="1402" w:right="0" w:hanging="288"/>
        <w:jc w:val="both"/>
        <w:rPr>
          <w:sz w:val="16"/>
        </w:rPr>
      </w:pPr>
      <w:r>
        <w:rPr>
          <w:color w:val="231F20"/>
          <w:sz w:val="16"/>
        </w:rPr>
        <w:t>Barrie, C.T., and Hannington, M.D., 1999, Introduction: Classification of VMS deposits based on host rock composition, </w:t>
      </w:r>
      <w:r>
        <w:rPr>
          <w:i/>
          <w:color w:val="231F20"/>
          <w:sz w:val="16"/>
        </w:rPr>
        <w:t>in </w:t>
      </w:r>
      <w:r>
        <w:rPr>
          <w:color w:val="231F20"/>
          <w:sz w:val="16"/>
        </w:rPr>
        <w:t>Barrie, C.T., and Hannington, M.D., eds., Volcanic-Associated Massive Sulfide</w:t>
      </w:r>
    </w:p>
    <w:p>
      <w:pPr>
        <w:pStyle w:val="BodyText"/>
        <w:rPr>
          <w:sz w:val="18"/>
        </w:rPr>
      </w:pPr>
      <w:r>
        <w:rPr/>
        <w:br w:type="column"/>
      </w:r>
      <w:r>
        <w:rPr>
          <w:sz w:val="18"/>
        </w:rPr>
      </w:r>
    </w:p>
    <w:p>
      <w:pPr>
        <w:spacing w:line="230" w:lineRule="auto" w:before="0"/>
        <w:ind w:left="605" w:right="1219" w:firstLine="0"/>
        <w:jc w:val="left"/>
        <w:rPr>
          <w:sz w:val="16"/>
        </w:rPr>
      </w:pPr>
      <w:r>
        <w:rPr>
          <w:color w:val="231F20"/>
          <w:sz w:val="16"/>
        </w:rPr>
        <w:t>Deposits: Processes and Examples in Modern and Ancient Settings: Reviews in Economic Geology, v. 8, p. 2-10.</w:t>
      </w:r>
    </w:p>
    <w:p>
      <w:pPr>
        <w:spacing w:line="230" w:lineRule="auto" w:before="27"/>
        <w:ind w:left="605" w:right="1082" w:hanging="288"/>
        <w:jc w:val="both"/>
        <w:rPr>
          <w:sz w:val="16"/>
        </w:rPr>
      </w:pPr>
      <w:r>
        <w:rPr>
          <w:color w:val="231F20"/>
          <w:sz w:val="16"/>
        </w:rPr>
        <w:t>Barrie, C.T., Ludden, J.N., and Green, A.H., 1993, Geochemistry of vol- canic rocks associated with Cu-Zn and Ni-Cu deposits in the Abitibi Subprovince: Economic Geology, v. 88, p. 1341-1358.</w:t>
      </w:r>
    </w:p>
    <w:p>
      <w:pPr>
        <w:spacing w:line="230" w:lineRule="auto" w:before="27"/>
        <w:ind w:left="605" w:right="1082" w:hanging="288"/>
        <w:jc w:val="both"/>
        <w:rPr>
          <w:sz w:val="16"/>
        </w:rPr>
      </w:pPr>
      <w:r>
        <w:rPr>
          <w:color w:val="231F20"/>
          <w:sz w:val="16"/>
        </w:rPr>
        <w:t>Bédard, J.H., and Hébert, R., 1996, The lower crust of the Bay of Islands ophiolite, Canada: Petrology, mineralogy, and the importance of syn- texis in magmatic differentiation in ophiolites and at ocean ridges: Journal of Geophysical Research, v. 101, p. 25105-25124.</w:t>
      </w:r>
    </w:p>
    <w:p>
      <w:pPr>
        <w:spacing w:line="230" w:lineRule="auto" w:before="27"/>
        <w:ind w:left="605" w:right="1083" w:hanging="288"/>
        <w:jc w:val="both"/>
        <w:rPr>
          <w:sz w:val="16"/>
        </w:rPr>
      </w:pPr>
      <w:r>
        <w:rPr>
          <w:color w:val="231F20"/>
          <w:sz w:val="16"/>
        </w:rPr>
        <w:t>Bédard, J.H., Lauzière, K., Tremblay, A., and Sangster, A., 1998, Evidence from Betts Cove ophiolite boninites for forearc seafloor-spreading: Tectonophysics, v. 284, p. 233-245.</w:t>
      </w:r>
    </w:p>
    <w:p>
      <w:pPr>
        <w:spacing w:line="230" w:lineRule="auto" w:before="26"/>
        <w:ind w:left="605" w:right="1083" w:hanging="288"/>
        <w:jc w:val="both"/>
        <w:rPr>
          <w:sz w:val="16"/>
        </w:rPr>
      </w:pPr>
      <w:r>
        <w:rPr>
          <w:color w:val="231F20"/>
          <w:sz w:val="16"/>
        </w:rPr>
        <w:t>Bloomer, S.H., </w:t>
      </w:r>
      <w:r>
        <w:rPr>
          <w:color w:val="231F20"/>
          <w:spacing w:val="-3"/>
          <w:sz w:val="16"/>
        </w:rPr>
        <w:t>Taylor, </w:t>
      </w:r>
      <w:r>
        <w:rPr>
          <w:color w:val="231F20"/>
          <w:sz w:val="16"/>
        </w:rPr>
        <w:t>B., MacLeod, C.J., Stern, R.J., Fryer, </w:t>
      </w:r>
      <w:r>
        <w:rPr>
          <w:color w:val="231F20"/>
          <w:spacing w:val="-6"/>
          <w:sz w:val="16"/>
        </w:rPr>
        <w:t>P., </w:t>
      </w:r>
      <w:r>
        <w:rPr>
          <w:color w:val="231F20"/>
          <w:sz w:val="16"/>
        </w:rPr>
        <w:t>Hawkins </w:t>
      </w:r>
      <w:r>
        <w:rPr>
          <w:color w:val="231F20"/>
          <w:spacing w:val="-4"/>
          <w:sz w:val="16"/>
        </w:rPr>
        <w:t>J.W.,</w:t>
      </w:r>
      <w:r>
        <w:rPr>
          <w:color w:val="231F20"/>
          <w:spacing w:val="-7"/>
          <w:sz w:val="16"/>
        </w:rPr>
        <w:t> </w:t>
      </w:r>
      <w:r>
        <w:rPr>
          <w:color w:val="231F20"/>
          <w:sz w:val="16"/>
        </w:rPr>
        <w:t>Johnson,</w:t>
      </w:r>
      <w:r>
        <w:rPr>
          <w:color w:val="231F20"/>
          <w:spacing w:val="-7"/>
          <w:sz w:val="16"/>
        </w:rPr>
        <w:t> </w:t>
      </w:r>
      <w:r>
        <w:rPr>
          <w:color w:val="231F20"/>
          <w:sz w:val="16"/>
        </w:rPr>
        <w:t>L.,</w:t>
      </w:r>
      <w:r>
        <w:rPr>
          <w:color w:val="231F20"/>
          <w:spacing w:val="-6"/>
          <w:sz w:val="16"/>
        </w:rPr>
        <w:t> </w:t>
      </w:r>
      <w:r>
        <w:rPr>
          <w:color w:val="231F20"/>
          <w:sz w:val="16"/>
        </w:rPr>
        <w:t>1995,</w:t>
      </w:r>
      <w:r>
        <w:rPr>
          <w:color w:val="231F20"/>
          <w:spacing w:val="-7"/>
          <w:sz w:val="16"/>
        </w:rPr>
        <w:t> </w:t>
      </w:r>
      <w:r>
        <w:rPr>
          <w:color w:val="231F20"/>
          <w:sz w:val="16"/>
        </w:rPr>
        <w:t>Early</w:t>
      </w:r>
      <w:r>
        <w:rPr>
          <w:color w:val="231F20"/>
          <w:spacing w:val="-6"/>
          <w:sz w:val="16"/>
        </w:rPr>
        <w:t> </w:t>
      </w:r>
      <w:r>
        <w:rPr>
          <w:color w:val="231F20"/>
          <w:sz w:val="16"/>
        </w:rPr>
        <w:t>arc</w:t>
      </w:r>
      <w:r>
        <w:rPr>
          <w:color w:val="231F20"/>
          <w:spacing w:val="-6"/>
          <w:sz w:val="16"/>
        </w:rPr>
        <w:t> </w:t>
      </w:r>
      <w:r>
        <w:rPr>
          <w:color w:val="231F20"/>
          <w:sz w:val="16"/>
        </w:rPr>
        <w:t>volcanism</w:t>
      </w:r>
      <w:r>
        <w:rPr>
          <w:color w:val="231F20"/>
          <w:spacing w:val="-7"/>
          <w:sz w:val="16"/>
        </w:rPr>
        <w:t> </w:t>
      </w:r>
      <w:r>
        <w:rPr>
          <w:color w:val="231F20"/>
          <w:sz w:val="16"/>
        </w:rPr>
        <w:t>and</w:t>
      </w:r>
      <w:r>
        <w:rPr>
          <w:color w:val="231F20"/>
          <w:spacing w:val="-6"/>
          <w:sz w:val="16"/>
        </w:rPr>
        <w:t> </w:t>
      </w:r>
      <w:r>
        <w:rPr>
          <w:color w:val="231F20"/>
          <w:sz w:val="16"/>
        </w:rPr>
        <w:t>the</w:t>
      </w:r>
      <w:r>
        <w:rPr>
          <w:color w:val="231F20"/>
          <w:spacing w:val="-6"/>
          <w:sz w:val="16"/>
        </w:rPr>
        <w:t> </w:t>
      </w:r>
      <w:r>
        <w:rPr>
          <w:color w:val="231F20"/>
          <w:sz w:val="16"/>
        </w:rPr>
        <w:t>ophiolite</w:t>
      </w:r>
      <w:r>
        <w:rPr>
          <w:color w:val="231F20"/>
          <w:spacing w:val="-7"/>
          <w:sz w:val="16"/>
        </w:rPr>
        <w:t> </w:t>
      </w:r>
      <w:r>
        <w:rPr>
          <w:color w:val="231F20"/>
          <w:sz w:val="16"/>
        </w:rPr>
        <w:t>problem: A perspective from drilling in the Western Pacific: Geophysical Monograph 88, p.</w:t>
      </w:r>
      <w:r>
        <w:rPr>
          <w:color w:val="231F20"/>
          <w:spacing w:val="10"/>
          <w:sz w:val="16"/>
        </w:rPr>
        <w:t> </w:t>
      </w:r>
      <w:r>
        <w:rPr>
          <w:color w:val="231F20"/>
          <w:sz w:val="16"/>
        </w:rPr>
        <w:t>1-30.</w:t>
      </w:r>
    </w:p>
    <w:p>
      <w:pPr>
        <w:spacing w:line="230" w:lineRule="auto" w:before="27"/>
        <w:ind w:left="605" w:right="1081" w:hanging="288"/>
        <w:jc w:val="both"/>
        <w:rPr>
          <w:sz w:val="16"/>
        </w:rPr>
      </w:pPr>
      <w:r>
        <w:rPr>
          <w:color w:val="231F20"/>
          <w:sz w:val="16"/>
        </w:rPr>
        <w:t>Bradshaw, </w:t>
      </w:r>
      <w:r>
        <w:rPr>
          <w:color w:val="231F20"/>
          <w:spacing w:val="-4"/>
          <w:sz w:val="16"/>
        </w:rPr>
        <w:t>G.D., </w:t>
      </w:r>
      <w:r>
        <w:rPr>
          <w:color w:val="231F20"/>
          <w:sz w:val="16"/>
        </w:rPr>
        <w:t>Rowins, S.M., Peter, J.M., and </w:t>
      </w:r>
      <w:r>
        <w:rPr>
          <w:color w:val="231F20"/>
          <w:spacing w:val="-3"/>
          <w:sz w:val="16"/>
        </w:rPr>
        <w:t>Taylor, </w:t>
      </w:r>
      <w:r>
        <w:rPr>
          <w:color w:val="231F20"/>
          <w:sz w:val="16"/>
        </w:rPr>
        <w:t>B.E., 2003,</w:t>
      </w:r>
      <w:r>
        <w:rPr>
          <w:color w:val="231F20"/>
          <w:spacing w:val="-29"/>
          <w:sz w:val="16"/>
        </w:rPr>
        <w:t> </w:t>
      </w:r>
      <w:r>
        <w:rPr>
          <w:color w:val="231F20"/>
          <w:sz w:val="16"/>
        </w:rPr>
        <w:t>Genesis of</w:t>
      </w:r>
      <w:r>
        <w:rPr>
          <w:color w:val="231F20"/>
          <w:spacing w:val="-4"/>
          <w:sz w:val="16"/>
        </w:rPr>
        <w:t> </w:t>
      </w:r>
      <w:r>
        <w:rPr>
          <w:color w:val="231F20"/>
          <w:sz w:val="16"/>
        </w:rPr>
        <w:t>the</w:t>
      </w:r>
      <w:r>
        <w:rPr>
          <w:color w:val="231F20"/>
          <w:spacing w:val="-7"/>
          <w:sz w:val="16"/>
        </w:rPr>
        <w:t> </w:t>
      </w:r>
      <w:r>
        <w:rPr>
          <w:color w:val="231F20"/>
          <w:sz w:val="16"/>
        </w:rPr>
        <w:t>Wolverine</w:t>
      </w:r>
      <w:r>
        <w:rPr>
          <w:color w:val="231F20"/>
          <w:spacing w:val="-4"/>
          <w:sz w:val="16"/>
        </w:rPr>
        <w:t> </w:t>
      </w:r>
      <w:r>
        <w:rPr>
          <w:color w:val="231F20"/>
          <w:sz w:val="16"/>
        </w:rPr>
        <w:t>deposit,</w:t>
      </w:r>
      <w:r>
        <w:rPr>
          <w:color w:val="231F20"/>
          <w:spacing w:val="-4"/>
          <w:sz w:val="16"/>
        </w:rPr>
        <w:t> </w:t>
      </w:r>
      <w:r>
        <w:rPr>
          <w:color w:val="231F20"/>
          <w:sz w:val="16"/>
        </w:rPr>
        <w:t>Finlayson</w:t>
      </w:r>
      <w:r>
        <w:rPr>
          <w:color w:val="231F20"/>
          <w:spacing w:val="-4"/>
          <w:sz w:val="16"/>
        </w:rPr>
        <w:t> </w:t>
      </w:r>
      <w:r>
        <w:rPr>
          <w:color w:val="231F20"/>
          <w:sz w:val="16"/>
        </w:rPr>
        <w:t>Lake</w:t>
      </w:r>
      <w:r>
        <w:rPr>
          <w:color w:val="231F20"/>
          <w:spacing w:val="-4"/>
          <w:sz w:val="16"/>
        </w:rPr>
        <w:t> </w:t>
      </w:r>
      <w:r>
        <w:rPr>
          <w:color w:val="231F20"/>
          <w:sz w:val="16"/>
        </w:rPr>
        <w:t>district,</w:t>
      </w:r>
      <w:r>
        <w:rPr>
          <w:color w:val="231F20"/>
          <w:spacing w:val="-10"/>
          <w:sz w:val="16"/>
        </w:rPr>
        <w:t> </w:t>
      </w:r>
      <w:r>
        <w:rPr>
          <w:color w:val="231F20"/>
          <w:spacing w:val="-3"/>
          <w:sz w:val="16"/>
        </w:rPr>
        <w:t>Yukon:</w:t>
      </w:r>
      <w:r>
        <w:rPr>
          <w:color w:val="231F20"/>
          <w:spacing w:val="-12"/>
          <w:sz w:val="16"/>
        </w:rPr>
        <w:t> </w:t>
      </w:r>
      <w:r>
        <w:rPr>
          <w:color w:val="231F20"/>
          <w:sz w:val="16"/>
        </w:rPr>
        <w:t>A</w:t>
      </w:r>
      <w:r>
        <w:rPr>
          <w:color w:val="231F20"/>
          <w:spacing w:val="-12"/>
          <w:sz w:val="16"/>
        </w:rPr>
        <w:t> </w:t>
      </w:r>
      <w:r>
        <w:rPr>
          <w:color w:val="231F20"/>
          <w:sz w:val="16"/>
        </w:rPr>
        <w:t>transitional style of polymetallic massive sulfide mineralization in an ancient con- tinental margin setting: The Gangue, p.</w:t>
      </w:r>
      <w:r>
        <w:rPr>
          <w:color w:val="231F20"/>
          <w:spacing w:val="16"/>
          <w:sz w:val="16"/>
        </w:rPr>
        <w:t> </w:t>
      </w:r>
      <w:r>
        <w:rPr>
          <w:color w:val="231F20"/>
          <w:sz w:val="16"/>
        </w:rPr>
        <w:t>1-7.</w:t>
      </w:r>
    </w:p>
    <w:p>
      <w:pPr>
        <w:spacing w:line="230" w:lineRule="auto" w:before="26"/>
        <w:ind w:left="605" w:right="1081" w:hanging="288"/>
        <w:jc w:val="both"/>
        <w:rPr>
          <w:sz w:val="16"/>
        </w:rPr>
      </w:pPr>
      <w:r>
        <w:rPr>
          <w:color w:val="231F20"/>
          <w:sz w:val="16"/>
        </w:rPr>
        <w:t>Brauhart, </w:t>
      </w:r>
      <w:r>
        <w:rPr>
          <w:color w:val="231F20"/>
          <w:spacing w:val="-3"/>
          <w:sz w:val="16"/>
        </w:rPr>
        <w:t>C.W., </w:t>
      </w:r>
      <w:r>
        <w:rPr>
          <w:color w:val="231F20"/>
          <w:sz w:val="16"/>
        </w:rPr>
        <w:t>Groves, D.I., and Morant, </w:t>
      </w:r>
      <w:r>
        <w:rPr>
          <w:color w:val="231F20"/>
          <w:spacing w:val="-6"/>
          <w:sz w:val="16"/>
        </w:rPr>
        <w:t>P., </w:t>
      </w:r>
      <w:r>
        <w:rPr>
          <w:color w:val="231F20"/>
          <w:sz w:val="16"/>
        </w:rPr>
        <w:t>1998, Regional alteration sys- tems associated with volcanogenic massive sulfide mineralization at Panorama, Pilbara,  Western  Australia:  Economic  </w:t>
      </w:r>
      <w:r>
        <w:rPr>
          <w:color w:val="231F20"/>
          <w:spacing w:val="-3"/>
          <w:sz w:val="16"/>
        </w:rPr>
        <w:t>Geology,  </w:t>
      </w:r>
      <w:r>
        <w:rPr>
          <w:color w:val="231F20"/>
          <w:spacing w:val="-6"/>
          <w:sz w:val="16"/>
        </w:rPr>
        <w:t>v.</w:t>
      </w:r>
      <w:r>
        <w:rPr>
          <w:color w:val="231F20"/>
          <w:spacing w:val="27"/>
          <w:sz w:val="16"/>
        </w:rPr>
        <w:t> </w:t>
      </w:r>
      <w:r>
        <w:rPr>
          <w:color w:val="231F20"/>
          <w:sz w:val="16"/>
        </w:rPr>
        <w:t>93,  p.</w:t>
      </w:r>
      <w:r>
        <w:rPr>
          <w:color w:val="231F20"/>
          <w:spacing w:val="2"/>
          <w:sz w:val="16"/>
        </w:rPr>
        <w:t> </w:t>
      </w:r>
      <w:r>
        <w:rPr>
          <w:color w:val="231F20"/>
          <w:sz w:val="16"/>
        </w:rPr>
        <w:t>292-302.</w:t>
      </w:r>
    </w:p>
    <w:p>
      <w:pPr>
        <w:spacing w:line="230" w:lineRule="auto" w:before="26"/>
        <w:ind w:left="605" w:right="1080" w:hanging="288"/>
        <w:jc w:val="both"/>
        <w:rPr>
          <w:sz w:val="16"/>
        </w:rPr>
      </w:pPr>
      <w:r>
        <w:rPr>
          <w:color w:val="231F20"/>
          <w:sz w:val="16"/>
        </w:rPr>
        <w:t>Carvalho, D., Barriga, F.J.A.S., and Munha, J., 1999, Bimodal-siliciclastic systems - The case of the Iberian Pyrite Belt, </w:t>
      </w:r>
      <w:r>
        <w:rPr>
          <w:i/>
          <w:color w:val="231F20"/>
          <w:sz w:val="16"/>
        </w:rPr>
        <w:t>in </w:t>
      </w:r>
      <w:r>
        <w:rPr>
          <w:color w:val="231F20"/>
          <w:sz w:val="16"/>
        </w:rPr>
        <w:t>Barrie, C.T., and Hannington, M.D., eds., Volcanic-Associated Massive Sulfide Deposits: Processes and Examples in Modern and Ancient Settings: Reviews in Economic Geology, v. 8, p. 375-402.</w:t>
      </w:r>
    </w:p>
    <w:p>
      <w:pPr>
        <w:spacing w:line="230" w:lineRule="auto" w:before="26"/>
        <w:ind w:left="605" w:right="1082" w:hanging="288"/>
        <w:jc w:val="both"/>
        <w:rPr>
          <w:sz w:val="16"/>
        </w:rPr>
      </w:pPr>
      <w:r>
        <w:rPr>
          <w:color w:val="231F20"/>
          <w:sz w:val="16"/>
        </w:rPr>
        <w:t>Cathles, L.M., 1993, Oxygen isotope alteration in the Noranda Mining District, Abitibi Greenstone Belt, Quebec: Economic </w:t>
      </w:r>
      <w:r>
        <w:rPr>
          <w:color w:val="231F20"/>
          <w:spacing w:val="-3"/>
          <w:sz w:val="16"/>
        </w:rPr>
        <w:t>Geology, </w:t>
      </w:r>
      <w:r>
        <w:rPr>
          <w:color w:val="231F20"/>
          <w:spacing w:val="-6"/>
          <w:sz w:val="16"/>
        </w:rPr>
        <w:t>v. </w:t>
      </w:r>
      <w:r>
        <w:rPr>
          <w:color w:val="231F20"/>
          <w:sz w:val="16"/>
        </w:rPr>
        <w:t>88,  p.</w:t>
      </w:r>
      <w:r>
        <w:rPr>
          <w:color w:val="231F20"/>
          <w:spacing w:val="2"/>
          <w:sz w:val="16"/>
        </w:rPr>
        <w:t> </w:t>
      </w:r>
      <w:r>
        <w:rPr>
          <w:color w:val="231F20"/>
          <w:sz w:val="16"/>
        </w:rPr>
        <w:t>1483-1511.</w:t>
      </w:r>
    </w:p>
    <w:p>
      <w:pPr>
        <w:spacing w:line="230" w:lineRule="auto" w:before="27"/>
        <w:ind w:left="605" w:right="1082" w:hanging="288"/>
        <w:jc w:val="both"/>
        <w:rPr>
          <w:sz w:val="16"/>
        </w:rPr>
      </w:pPr>
      <w:r>
        <w:rPr>
          <w:color w:val="231F20"/>
          <w:sz w:val="16"/>
        </w:rPr>
        <w:t>Corbett, K.D., 1992, Stratigraphic-volcanic setting of massive sulfide deposits in the Cambrian Mount Read volcanics, western Tasmania: Economic Geology, v. 87, p. 564-586.</w:t>
      </w:r>
    </w:p>
    <w:p>
      <w:pPr>
        <w:spacing w:line="230" w:lineRule="auto" w:before="27"/>
        <w:ind w:left="605" w:right="1083" w:hanging="288"/>
        <w:jc w:val="both"/>
        <w:rPr>
          <w:sz w:val="16"/>
        </w:rPr>
      </w:pPr>
      <w:r>
        <w:rPr>
          <w:color w:val="231F20"/>
          <w:sz w:val="16"/>
        </w:rPr>
        <w:t>Crawford, A.J., Falloon, T.J., and Green D.H., 1989, Classification, petro- genesis and tectonic setting of boninite, </w:t>
      </w:r>
      <w:r>
        <w:rPr>
          <w:i/>
          <w:color w:val="231F20"/>
          <w:sz w:val="16"/>
        </w:rPr>
        <w:t>in </w:t>
      </w:r>
      <w:r>
        <w:rPr>
          <w:color w:val="231F20"/>
          <w:sz w:val="16"/>
        </w:rPr>
        <w:t>Crawford, A.J., ed., Boninites and Related Rocks: Unwin Hyman, London, p. 2-48.</w:t>
      </w:r>
    </w:p>
    <w:p>
      <w:pPr>
        <w:spacing w:line="230" w:lineRule="auto" w:before="27"/>
        <w:ind w:left="605" w:right="1082" w:hanging="288"/>
        <w:jc w:val="both"/>
        <w:rPr>
          <w:sz w:val="16"/>
        </w:rPr>
      </w:pPr>
      <w:r>
        <w:rPr>
          <w:color w:val="231F20"/>
          <w:sz w:val="16"/>
        </w:rPr>
        <w:t>Dimroth, E., Imreh, L., Goulet, N., and Rocheleau, M., 1983, Evolution of the south-central segment of the Archean Abitibi Belt, Quebec; Part II, Tectonic evolution and geomechanical model: Canadian Journal of Earth Sciences 20, p. 1355-1373.</w:t>
      </w:r>
    </w:p>
    <w:p>
      <w:pPr>
        <w:spacing w:line="230" w:lineRule="auto" w:before="26"/>
        <w:ind w:left="605" w:right="1083" w:hanging="288"/>
        <w:jc w:val="both"/>
        <w:rPr>
          <w:sz w:val="16"/>
        </w:rPr>
      </w:pPr>
      <w:r>
        <w:rPr>
          <w:color w:val="231F20"/>
          <w:sz w:val="16"/>
        </w:rPr>
        <w:t>Doyle, </w:t>
      </w:r>
      <w:r>
        <w:rPr>
          <w:color w:val="231F20"/>
          <w:spacing w:val="-5"/>
          <w:sz w:val="16"/>
        </w:rPr>
        <w:t>M.G., </w:t>
      </w:r>
      <w:r>
        <w:rPr>
          <w:color w:val="231F20"/>
          <w:sz w:val="16"/>
        </w:rPr>
        <w:t>and McPhie, J, 2000, Facies architecture of a silicic intrusion- dominated</w:t>
      </w:r>
      <w:r>
        <w:rPr>
          <w:color w:val="231F20"/>
          <w:spacing w:val="-7"/>
          <w:sz w:val="16"/>
        </w:rPr>
        <w:t> </w:t>
      </w:r>
      <w:r>
        <w:rPr>
          <w:color w:val="231F20"/>
          <w:sz w:val="16"/>
        </w:rPr>
        <w:t>volcanic</w:t>
      </w:r>
      <w:r>
        <w:rPr>
          <w:color w:val="231F20"/>
          <w:spacing w:val="-7"/>
          <w:sz w:val="16"/>
        </w:rPr>
        <w:t> </w:t>
      </w:r>
      <w:r>
        <w:rPr>
          <w:color w:val="231F20"/>
          <w:sz w:val="16"/>
        </w:rPr>
        <w:t>centre</w:t>
      </w:r>
      <w:r>
        <w:rPr>
          <w:color w:val="231F20"/>
          <w:spacing w:val="-7"/>
          <w:sz w:val="16"/>
        </w:rPr>
        <w:t> </w:t>
      </w:r>
      <w:r>
        <w:rPr>
          <w:color w:val="231F20"/>
          <w:sz w:val="16"/>
        </w:rPr>
        <w:t>at</w:t>
      </w:r>
      <w:r>
        <w:rPr>
          <w:color w:val="231F20"/>
          <w:spacing w:val="-7"/>
          <w:sz w:val="16"/>
        </w:rPr>
        <w:t> </w:t>
      </w:r>
      <w:r>
        <w:rPr>
          <w:color w:val="231F20"/>
          <w:sz w:val="16"/>
        </w:rPr>
        <w:t>Highway-Reward,</w:t>
      </w:r>
      <w:r>
        <w:rPr>
          <w:color w:val="231F20"/>
          <w:spacing w:val="-7"/>
          <w:sz w:val="16"/>
        </w:rPr>
        <w:t> </w:t>
      </w:r>
      <w:r>
        <w:rPr>
          <w:color w:val="231F20"/>
          <w:sz w:val="16"/>
        </w:rPr>
        <w:t>Queensland,</w:t>
      </w:r>
      <w:r>
        <w:rPr>
          <w:color w:val="231F20"/>
          <w:spacing w:val="-14"/>
          <w:sz w:val="16"/>
        </w:rPr>
        <w:t> </w:t>
      </w:r>
      <w:r>
        <w:rPr>
          <w:color w:val="231F20"/>
          <w:sz w:val="16"/>
        </w:rPr>
        <w:t>Australia: Journal of Volcanology and Geothermal Research, </w:t>
      </w:r>
      <w:r>
        <w:rPr>
          <w:color w:val="231F20"/>
          <w:spacing w:val="-6"/>
          <w:sz w:val="16"/>
        </w:rPr>
        <w:t>v. </w:t>
      </w:r>
      <w:r>
        <w:rPr>
          <w:color w:val="231F20"/>
          <w:sz w:val="16"/>
        </w:rPr>
        <w:t>99, p.</w:t>
      </w:r>
      <w:r>
        <w:rPr>
          <w:color w:val="231F20"/>
          <w:spacing w:val="16"/>
          <w:sz w:val="16"/>
        </w:rPr>
        <w:t> </w:t>
      </w:r>
      <w:r>
        <w:rPr>
          <w:color w:val="231F20"/>
          <w:sz w:val="16"/>
        </w:rPr>
        <w:t>79-96.</w:t>
      </w:r>
    </w:p>
    <w:p>
      <w:pPr>
        <w:spacing w:line="230" w:lineRule="auto" w:before="27"/>
        <w:ind w:left="605" w:right="1081" w:hanging="288"/>
        <w:jc w:val="both"/>
        <w:rPr>
          <w:sz w:val="16"/>
        </w:rPr>
      </w:pPr>
      <w:r>
        <w:rPr>
          <w:color w:val="231F20"/>
          <w:sz w:val="16"/>
        </w:rPr>
        <w:t>Dubé, B., Mercier-Langevin, </w:t>
      </w:r>
      <w:r>
        <w:rPr>
          <w:color w:val="231F20"/>
          <w:spacing w:val="-6"/>
          <w:sz w:val="16"/>
        </w:rPr>
        <w:t>P., </w:t>
      </w:r>
      <w:r>
        <w:rPr>
          <w:color w:val="231F20"/>
          <w:sz w:val="16"/>
        </w:rPr>
        <w:t>Hannington, M.D., Davis, </w:t>
      </w:r>
      <w:r>
        <w:rPr>
          <w:color w:val="231F20"/>
          <w:spacing w:val="-4"/>
          <w:sz w:val="16"/>
        </w:rPr>
        <w:t>D.W., </w:t>
      </w:r>
      <w:r>
        <w:rPr>
          <w:color w:val="231F20"/>
          <w:sz w:val="16"/>
        </w:rPr>
        <w:t>and LaFrance, B., 2004, Le gisement de sulfures massifs volcanogènes aurifères</w:t>
      </w:r>
      <w:r>
        <w:rPr>
          <w:color w:val="231F20"/>
          <w:spacing w:val="-8"/>
          <w:sz w:val="16"/>
        </w:rPr>
        <w:t> </w:t>
      </w:r>
      <w:r>
        <w:rPr>
          <w:color w:val="231F20"/>
          <w:sz w:val="16"/>
        </w:rPr>
        <w:t>LaRonde,</w:t>
      </w:r>
      <w:r>
        <w:rPr>
          <w:color w:val="231F20"/>
          <w:spacing w:val="-17"/>
          <w:sz w:val="16"/>
        </w:rPr>
        <w:t> </w:t>
      </w:r>
      <w:r>
        <w:rPr>
          <w:color w:val="231F20"/>
          <w:sz w:val="16"/>
        </w:rPr>
        <w:t>Abitibi,</w:t>
      </w:r>
      <w:r>
        <w:rPr>
          <w:color w:val="231F20"/>
          <w:spacing w:val="-9"/>
          <w:sz w:val="16"/>
        </w:rPr>
        <w:t> </w:t>
      </w:r>
      <w:r>
        <w:rPr>
          <w:color w:val="231F20"/>
          <w:sz w:val="16"/>
        </w:rPr>
        <w:t>Québec:</w:t>
      </w:r>
      <w:r>
        <w:rPr>
          <w:color w:val="231F20"/>
          <w:spacing w:val="-9"/>
          <w:sz w:val="16"/>
        </w:rPr>
        <w:t> </w:t>
      </w:r>
      <w:r>
        <w:rPr>
          <w:color w:val="231F20"/>
          <w:sz w:val="16"/>
        </w:rPr>
        <w:t>alteration,</w:t>
      </w:r>
      <w:r>
        <w:rPr>
          <w:color w:val="231F20"/>
          <w:spacing w:val="-8"/>
          <w:sz w:val="16"/>
        </w:rPr>
        <w:t> </w:t>
      </w:r>
      <w:r>
        <w:rPr>
          <w:color w:val="231F20"/>
          <w:sz w:val="16"/>
        </w:rPr>
        <w:t>mineralisation</w:t>
      </w:r>
      <w:r>
        <w:rPr>
          <w:color w:val="231F20"/>
          <w:spacing w:val="-8"/>
          <w:sz w:val="16"/>
        </w:rPr>
        <w:t> </w:t>
      </w:r>
      <w:r>
        <w:rPr>
          <w:color w:val="231F20"/>
          <w:sz w:val="16"/>
        </w:rPr>
        <w:t>genèse</w:t>
      </w:r>
      <w:r>
        <w:rPr>
          <w:color w:val="231F20"/>
          <w:spacing w:val="-8"/>
          <w:sz w:val="16"/>
        </w:rPr>
        <w:t> </w:t>
      </w:r>
      <w:r>
        <w:rPr>
          <w:color w:val="231F20"/>
          <w:sz w:val="16"/>
        </w:rPr>
        <w:t>et implications pour l’exploration: Ministère de Resources Naturelles, Québec, Open File Report MB 2004-03, 112</w:t>
      </w:r>
      <w:r>
        <w:rPr>
          <w:color w:val="231F20"/>
          <w:spacing w:val="20"/>
          <w:sz w:val="16"/>
        </w:rPr>
        <w:t> </w:t>
      </w:r>
      <w:r>
        <w:rPr>
          <w:color w:val="231F20"/>
          <w:sz w:val="16"/>
        </w:rPr>
        <w:t>p.</w:t>
      </w:r>
    </w:p>
    <w:p>
      <w:pPr>
        <w:spacing w:line="230" w:lineRule="auto" w:before="26"/>
        <w:ind w:left="605" w:right="1083" w:hanging="288"/>
        <w:jc w:val="both"/>
        <w:rPr>
          <w:sz w:val="16"/>
        </w:rPr>
      </w:pPr>
      <w:r>
        <w:rPr>
          <w:color w:val="231F20"/>
          <w:sz w:val="16"/>
        </w:rPr>
        <w:t>Eastoe, C.J., Solomon, M., and Walshe, J.L., 1987, District-scale alteration associated with massive sulfide deposits in the Mount Read volcanics, Tasmania: Economic Geology, v. 82, p. 1204-1238.</w:t>
      </w:r>
    </w:p>
    <w:p>
      <w:pPr>
        <w:spacing w:line="230" w:lineRule="auto" w:before="27"/>
        <w:ind w:left="605" w:right="1082" w:hanging="288"/>
        <w:jc w:val="both"/>
        <w:rPr>
          <w:sz w:val="16"/>
        </w:rPr>
      </w:pPr>
      <w:r>
        <w:rPr>
          <w:color w:val="231F20"/>
          <w:sz w:val="16"/>
        </w:rPr>
        <w:t>Eckstrand, O.R., Sinclair, </w:t>
      </w:r>
      <w:r>
        <w:rPr>
          <w:color w:val="231F20"/>
          <w:spacing w:val="-3"/>
          <w:sz w:val="16"/>
        </w:rPr>
        <w:t>W.D., </w:t>
      </w:r>
      <w:r>
        <w:rPr>
          <w:color w:val="231F20"/>
          <w:sz w:val="16"/>
        </w:rPr>
        <w:t>and Thorpe, R.I., eds. 1995, Geology of Canadian</w:t>
      </w:r>
      <w:r>
        <w:rPr>
          <w:color w:val="231F20"/>
          <w:spacing w:val="-9"/>
          <w:sz w:val="16"/>
        </w:rPr>
        <w:t> </w:t>
      </w:r>
      <w:r>
        <w:rPr>
          <w:color w:val="231F20"/>
          <w:sz w:val="16"/>
        </w:rPr>
        <w:t>Mineral</w:t>
      </w:r>
      <w:r>
        <w:rPr>
          <w:color w:val="231F20"/>
          <w:spacing w:val="-9"/>
          <w:sz w:val="16"/>
        </w:rPr>
        <w:t> </w:t>
      </w:r>
      <w:r>
        <w:rPr>
          <w:color w:val="231F20"/>
          <w:sz w:val="16"/>
        </w:rPr>
        <w:t>Deposit</w:t>
      </w:r>
      <w:r>
        <w:rPr>
          <w:color w:val="231F20"/>
          <w:spacing w:val="-12"/>
          <w:sz w:val="16"/>
        </w:rPr>
        <w:t> </w:t>
      </w:r>
      <w:r>
        <w:rPr>
          <w:color w:val="231F20"/>
          <w:sz w:val="16"/>
        </w:rPr>
        <w:t>Types,</w:t>
      </w:r>
      <w:r>
        <w:rPr>
          <w:color w:val="231F20"/>
          <w:spacing w:val="-9"/>
          <w:sz w:val="16"/>
        </w:rPr>
        <w:t> </w:t>
      </w:r>
      <w:r>
        <w:rPr>
          <w:color w:val="231F20"/>
          <w:sz w:val="16"/>
        </w:rPr>
        <w:t>Geology</w:t>
      </w:r>
      <w:r>
        <w:rPr>
          <w:color w:val="231F20"/>
          <w:spacing w:val="-9"/>
          <w:sz w:val="16"/>
        </w:rPr>
        <w:t> </w:t>
      </w:r>
      <w:r>
        <w:rPr>
          <w:color w:val="231F20"/>
          <w:sz w:val="16"/>
        </w:rPr>
        <w:t>of</w:t>
      </w:r>
      <w:r>
        <w:rPr>
          <w:color w:val="231F20"/>
          <w:spacing w:val="-9"/>
          <w:sz w:val="16"/>
        </w:rPr>
        <w:t> </w:t>
      </w:r>
      <w:r>
        <w:rPr>
          <w:color w:val="231F20"/>
          <w:sz w:val="16"/>
        </w:rPr>
        <w:t>Canada,</w:t>
      </w:r>
      <w:r>
        <w:rPr>
          <w:color w:val="231F20"/>
          <w:spacing w:val="-9"/>
          <w:sz w:val="16"/>
        </w:rPr>
        <w:t> </w:t>
      </w:r>
      <w:r>
        <w:rPr>
          <w:color w:val="231F20"/>
          <w:sz w:val="16"/>
        </w:rPr>
        <w:t>No.</w:t>
      </w:r>
      <w:r>
        <w:rPr>
          <w:color w:val="231F20"/>
          <w:spacing w:val="-9"/>
          <w:sz w:val="16"/>
        </w:rPr>
        <w:t> </w:t>
      </w:r>
      <w:r>
        <w:rPr>
          <w:color w:val="231F20"/>
          <w:sz w:val="16"/>
        </w:rPr>
        <w:t>8,</w:t>
      </w:r>
      <w:r>
        <w:rPr>
          <w:color w:val="231F20"/>
          <w:spacing w:val="-9"/>
          <w:sz w:val="16"/>
        </w:rPr>
        <w:t> </w:t>
      </w:r>
      <w:r>
        <w:rPr>
          <w:color w:val="231F20"/>
          <w:sz w:val="16"/>
        </w:rPr>
        <w:t>Decade</w:t>
      </w:r>
      <w:r>
        <w:rPr>
          <w:color w:val="231F20"/>
          <w:spacing w:val="-9"/>
          <w:sz w:val="16"/>
        </w:rPr>
        <w:t> </w:t>
      </w:r>
      <w:r>
        <w:rPr>
          <w:color w:val="231F20"/>
          <w:sz w:val="16"/>
        </w:rPr>
        <w:t>of North American Geology (DNAG): Geological Society of America, Part 1, p.</w:t>
      </w:r>
      <w:r>
        <w:rPr>
          <w:color w:val="231F20"/>
          <w:spacing w:val="10"/>
          <w:sz w:val="16"/>
        </w:rPr>
        <w:t> </w:t>
      </w:r>
      <w:r>
        <w:rPr>
          <w:color w:val="231F20"/>
          <w:sz w:val="16"/>
        </w:rPr>
        <w:t>183-196.</w:t>
      </w:r>
    </w:p>
    <w:p>
      <w:pPr>
        <w:spacing w:line="230" w:lineRule="auto" w:before="26"/>
        <w:ind w:left="605" w:right="1081" w:hanging="288"/>
        <w:jc w:val="both"/>
        <w:rPr>
          <w:sz w:val="16"/>
        </w:rPr>
      </w:pPr>
      <w:r>
        <w:rPr>
          <w:color w:val="231F20"/>
          <w:sz w:val="16"/>
        </w:rPr>
        <w:t>Eldridge, C. W., Barton, P.B., and Ohmoto, H., 1983, Mineral textures and their bearing on formation of the Kuroko orebodies: Economic Geology Monograph, v. 5, p. 241-281.</w:t>
      </w:r>
    </w:p>
    <w:p>
      <w:pPr>
        <w:spacing w:line="230" w:lineRule="auto" w:before="27"/>
        <w:ind w:left="605" w:right="1083" w:hanging="288"/>
        <w:jc w:val="both"/>
        <w:rPr>
          <w:sz w:val="16"/>
        </w:rPr>
      </w:pPr>
      <w:r>
        <w:rPr>
          <w:color w:val="231F20"/>
          <w:sz w:val="16"/>
        </w:rPr>
        <w:t>Epp, M., and Crocket, J.H., 1999, Geology and geochemistry of the Potterdoal Cu-Zn deposit, Munro township, Ontario, </w:t>
      </w:r>
      <w:r>
        <w:rPr>
          <w:i/>
          <w:color w:val="231F20"/>
          <w:sz w:val="16"/>
        </w:rPr>
        <w:t>in </w:t>
      </w:r>
      <w:r>
        <w:rPr>
          <w:color w:val="231F20"/>
          <w:sz w:val="16"/>
        </w:rPr>
        <w:t>Hannington, M.D., and Barrie, C.T., eds., The Giant Kidd Creek Volcanogenic Massive Sulfide Deposit, Western Abitibi Subprovince, Canada: Economic Geology Monograph 10, p. 593-612.</w:t>
      </w:r>
    </w:p>
    <w:p>
      <w:pPr>
        <w:spacing w:line="230" w:lineRule="auto" w:before="26"/>
        <w:ind w:left="605" w:right="1082" w:hanging="288"/>
        <w:jc w:val="both"/>
        <w:rPr>
          <w:sz w:val="16"/>
        </w:rPr>
      </w:pPr>
      <w:r>
        <w:rPr>
          <w:color w:val="231F20"/>
          <w:sz w:val="16"/>
        </w:rPr>
        <w:t>Franklin, J.M., 1996, Volcanic-associated massive sulphide base metals, </w:t>
      </w:r>
      <w:r>
        <w:rPr>
          <w:i/>
          <w:color w:val="231F20"/>
          <w:sz w:val="16"/>
        </w:rPr>
        <w:t>in </w:t>
      </w:r>
      <w:r>
        <w:rPr>
          <w:color w:val="231F20"/>
          <w:sz w:val="16"/>
        </w:rPr>
        <w:t>Eckstrand, O.R., Sinclair, W.D., and Thorpe, R.I., eds., Geology of Canadian Mineral Deposit Types: Geological Survey of Canada, Geology of Canada, no. 8, p. 158-183.</w:t>
      </w:r>
    </w:p>
    <w:p>
      <w:pPr>
        <w:spacing w:line="230" w:lineRule="auto" w:before="26"/>
        <w:ind w:left="605" w:right="1084" w:hanging="288"/>
        <w:jc w:val="both"/>
        <w:rPr>
          <w:sz w:val="16"/>
        </w:rPr>
      </w:pPr>
      <w:r>
        <w:rPr>
          <w:color w:val="231F20"/>
          <w:sz w:val="16"/>
        </w:rPr>
        <w:t>Franklin,</w:t>
      </w:r>
      <w:r>
        <w:rPr>
          <w:color w:val="231F20"/>
          <w:spacing w:val="-11"/>
          <w:sz w:val="16"/>
        </w:rPr>
        <w:t> </w:t>
      </w:r>
      <w:r>
        <w:rPr>
          <w:color w:val="231F20"/>
          <w:sz w:val="16"/>
        </w:rPr>
        <w:t>J.M.,</w:t>
      </w:r>
      <w:r>
        <w:rPr>
          <w:color w:val="231F20"/>
          <w:spacing w:val="-11"/>
          <w:sz w:val="16"/>
        </w:rPr>
        <w:t> </w:t>
      </w:r>
      <w:r>
        <w:rPr>
          <w:color w:val="231F20"/>
          <w:sz w:val="16"/>
        </w:rPr>
        <w:t>and</w:t>
      </w:r>
      <w:r>
        <w:rPr>
          <w:color w:val="231F20"/>
          <w:spacing w:val="-11"/>
          <w:sz w:val="16"/>
        </w:rPr>
        <w:t> </w:t>
      </w:r>
      <w:r>
        <w:rPr>
          <w:color w:val="231F20"/>
          <w:sz w:val="16"/>
        </w:rPr>
        <w:t>Hannington,</w:t>
      </w:r>
      <w:r>
        <w:rPr>
          <w:color w:val="231F20"/>
          <w:spacing w:val="-11"/>
          <w:sz w:val="16"/>
        </w:rPr>
        <w:t> </w:t>
      </w:r>
      <w:r>
        <w:rPr>
          <w:color w:val="231F20"/>
          <w:sz w:val="16"/>
        </w:rPr>
        <w:t>M.D.,</w:t>
      </w:r>
      <w:r>
        <w:rPr>
          <w:color w:val="231F20"/>
          <w:spacing w:val="-11"/>
          <w:sz w:val="16"/>
        </w:rPr>
        <w:t> </w:t>
      </w:r>
      <w:r>
        <w:rPr>
          <w:color w:val="231F20"/>
          <w:sz w:val="16"/>
        </w:rPr>
        <w:t>2002,</w:t>
      </w:r>
      <w:r>
        <w:rPr>
          <w:color w:val="231F20"/>
          <w:spacing w:val="-13"/>
          <w:sz w:val="16"/>
        </w:rPr>
        <w:t> </w:t>
      </w:r>
      <w:r>
        <w:rPr>
          <w:color w:val="231F20"/>
          <w:sz w:val="16"/>
        </w:rPr>
        <w:t>Volcanogenic</w:t>
      </w:r>
      <w:r>
        <w:rPr>
          <w:color w:val="231F20"/>
          <w:spacing w:val="-11"/>
          <w:sz w:val="16"/>
        </w:rPr>
        <w:t> </w:t>
      </w:r>
      <w:r>
        <w:rPr>
          <w:color w:val="231F20"/>
          <w:sz w:val="16"/>
        </w:rPr>
        <w:t>massive</w:t>
      </w:r>
      <w:r>
        <w:rPr>
          <w:color w:val="231F20"/>
          <w:spacing w:val="-11"/>
          <w:sz w:val="16"/>
        </w:rPr>
        <w:t> </w:t>
      </w:r>
      <w:r>
        <w:rPr>
          <w:color w:val="231F20"/>
          <w:sz w:val="16"/>
        </w:rPr>
        <w:t>sulfides through time: Geological Society of America, 2002 Annual Meeting, Abstracts with Programs, </w:t>
      </w:r>
      <w:r>
        <w:rPr>
          <w:color w:val="231F20"/>
          <w:spacing w:val="-6"/>
          <w:sz w:val="16"/>
        </w:rPr>
        <w:t>v. </w:t>
      </w:r>
      <w:r>
        <w:rPr>
          <w:color w:val="231F20"/>
          <w:sz w:val="16"/>
        </w:rPr>
        <w:t>34, p.</w:t>
      </w:r>
      <w:r>
        <w:rPr>
          <w:color w:val="231F20"/>
          <w:spacing w:val="23"/>
          <w:sz w:val="16"/>
        </w:rPr>
        <w:t> </w:t>
      </w:r>
      <w:r>
        <w:rPr>
          <w:color w:val="231F20"/>
          <w:sz w:val="16"/>
        </w:rPr>
        <w:t>283.</w:t>
      </w:r>
    </w:p>
    <w:p>
      <w:pPr>
        <w:spacing w:after="0" w:line="230" w:lineRule="auto"/>
        <w:jc w:val="both"/>
        <w:rPr>
          <w:sz w:val="16"/>
        </w:rPr>
        <w:sectPr>
          <w:pgSz w:w="12240" w:h="15840"/>
          <w:pgMar w:header="673" w:footer="779" w:top="1000" w:bottom="960" w:left="0" w:right="0"/>
          <w:cols w:num="2" w:equalWidth="0">
            <w:col w:w="5958" w:space="40"/>
            <w:col w:w="6242"/>
          </w:cols>
        </w:sectPr>
      </w:pPr>
    </w:p>
    <w:p>
      <w:pPr>
        <w:pStyle w:val="BodyText"/>
        <w:spacing w:before="5"/>
        <w:rPr>
          <w:sz w:val="17"/>
        </w:rPr>
      </w:pPr>
    </w:p>
    <w:p>
      <w:pPr>
        <w:spacing w:line="230" w:lineRule="auto" w:before="0"/>
        <w:ind w:left="1388" w:right="2" w:hanging="288"/>
        <w:jc w:val="both"/>
        <w:rPr>
          <w:sz w:val="16"/>
        </w:rPr>
      </w:pPr>
      <w:r>
        <w:rPr>
          <w:color w:val="231F20"/>
          <w:sz w:val="16"/>
        </w:rPr>
        <w:t>Franklin, J.M., Lydon, J.W., and Sangster, D.F., 1981, Volcanic-associated massive sulfide deposits; in Skinner, B.J., ed., Economic Geology 75th Anniversary Volume: Society of Economic Geologists, p. 485-627.</w:t>
      </w:r>
    </w:p>
    <w:p>
      <w:pPr>
        <w:spacing w:line="230" w:lineRule="auto" w:before="27"/>
        <w:ind w:left="1388" w:right="2" w:hanging="288"/>
        <w:jc w:val="both"/>
        <w:rPr>
          <w:sz w:val="16"/>
        </w:rPr>
      </w:pPr>
      <w:r>
        <w:rPr>
          <w:color w:val="231F20"/>
          <w:sz w:val="16"/>
        </w:rPr>
        <w:t>Franklin, J.M., Hannington, M.D., Jonasson, I.R., and Barrie, </w:t>
      </w:r>
      <w:r>
        <w:rPr>
          <w:color w:val="231F20"/>
          <w:spacing w:val="-3"/>
          <w:sz w:val="16"/>
        </w:rPr>
        <w:t>C.T., </w:t>
      </w:r>
      <w:r>
        <w:rPr>
          <w:color w:val="231F20"/>
          <w:sz w:val="16"/>
        </w:rPr>
        <w:t>1998, Arc-related volcanogenic massive sulphide deposits: Proceedings of Short Course on Metallogeny of </w:t>
      </w:r>
      <w:r>
        <w:rPr>
          <w:color w:val="231F20"/>
          <w:spacing w:val="-3"/>
          <w:sz w:val="16"/>
        </w:rPr>
        <w:t>Volcanic </w:t>
      </w:r>
      <w:r>
        <w:rPr>
          <w:color w:val="231F20"/>
          <w:sz w:val="16"/>
        </w:rPr>
        <w:t>Arcs, January 24-25, Vancouver: British Columbia Geological Survey Open-File 1998-8,   p.</w:t>
      </w:r>
      <w:r>
        <w:rPr>
          <w:color w:val="231F20"/>
          <w:spacing w:val="2"/>
          <w:sz w:val="16"/>
        </w:rPr>
        <w:t> </w:t>
      </w:r>
      <w:r>
        <w:rPr>
          <w:color w:val="231F20"/>
          <w:sz w:val="16"/>
        </w:rPr>
        <w:t>N1-N32.</w:t>
      </w:r>
    </w:p>
    <w:p>
      <w:pPr>
        <w:spacing w:line="230" w:lineRule="auto" w:before="26"/>
        <w:ind w:left="1388" w:right="0" w:hanging="288"/>
        <w:jc w:val="both"/>
        <w:rPr>
          <w:sz w:val="16"/>
        </w:rPr>
      </w:pPr>
      <w:r>
        <w:rPr>
          <w:color w:val="231F20"/>
          <w:sz w:val="16"/>
        </w:rPr>
        <w:t>Franklin, J.M., Gibson, H.L., Jonasson, I.R., and Galley, A.G., 2005, Volcanogenic Massive Sulfide Deposits, </w:t>
      </w:r>
      <w:r>
        <w:rPr>
          <w:i/>
          <w:color w:val="231F20"/>
          <w:sz w:val="16"/>
        </w:rPr>
        <w:t>in </w:t>
      </w:r>
      <w:r>
        <w:rPr>
          <w:color w:val="231F20"/>
          <w:sz w:val="16"/>
        </w:rPr>
        <w:t>Hedenquist, J.W., Thompson, J.F.H., Goldfarb, R.J., and Richards, J.P., eds., Economic Geology 100th Anniversary Volume: The Economic Geology Publishing Company, p. 523-560.</w:t>
      </w:r>
    </w:p>
    <w:p>
      <w:pPr>
        <w:spacing w:line="230" w:lineRule="auto" w:before="26"/>
        <w:ind w:left="1388" w:right="1" w:hanging="288"/>
        <w:jc w:val="both"/>
        <w:rPr>
          <w:sz w:val="16"/>
        </w:rPr>
      </w:pPr>
      <w:r>
        <w:rPr>
          <w:color w:val="231F20"/>
          <w:sz w:val="16"/>
        </w:rPr>
        <w:t>Galley, A.G., 1993, Semi-conformable alteration zones in volcanogenic massive sulphide districts: Journal of Geochemical Exploration, v. 48, p. 175-200.</w:t>
      </w:r>
    </w:p>
    <w:p>
      <w:pPr>
        <w:spacing w:line="230" w:lineRule="auto" w:before="26"/>
        <w:ind w:left="1388" w:right="0" w:hanging="288"/>
        <w:jc w:val="both"/>
        <w:rPr>
          <w:sz w:val="16"/>
        </w:rPr>
      </w:pPr>
      <w:r>
        <w:rPr>
          <w:color w:val="231F20"/>
          <w:sz w:val="16"/>
        </w:rPr>
        <w:t>——— 2003, Composite synvolcanic intrusions associated with Precambrian VMS- related hydrothermal systems: Mineralium Deposita, v. 38, p. 443-473.</w:t>
      </w:r>
    </w:p>
    <w:p>
      <w:pPr>
        <w:spacing w:line="230" w:lineRule="auto" w:before="27"/>
        <w:ind w:left="1388" w:right="0" w:hanging="288"/>
        <w:jc w:val="both"/>
        <w:rPr>
          <w:sz w:val="16"/>
        </w:rPr>
      </w:pPr>
      <w:r>
        <w:rPr>
          <w:color w:val="231F20"/>
          <w:sz w:val="16"/>
        </w:rPr>
        <w:t>Galley, A.G., and Jonasson, I.R., 2003, Classification and tectonic environ- ments of VMS deposits in the Flin Flon mining camp, Manitoba: Geological Association of Canada/Mineralogical Association of Canada Annual General Meeting, Program with Abstracts (CD-ROM).</w:t>
      </w:r>
    </w:p>
    <w:p>
      <w:pPr>
        <w:spacing w:line="230" w:lineRule="auto" w:before="27"/>
        <w:ind w:left="1388" w:right="1" w:hanging="288"/>
        <w:jc w:val="both"/>
        <w:rPr>
          <w:sz w:val="16"/>
        </w:rPr>
      </w:pPr>
      <w:r>
        <w:rPr>
          <w:color w:val="231F20"/>
          <w:spacing w:val="-3"/>
          <w:sz w:val="16"/>
        </w:rPr>
        <w:t>Galley,</w:t>
      </w:r>
      <w:r>
        <w:rPr>
          <w:color w:val="231F20"/>
          <w:spacing w:val="-15"/>
          <w:sz w:val="16"/>
        </w:rPr>
        <w:t> </w:t>
      </w:r>
      <w:r>
        <w:rPr>
          <w:color w:val="231F20"/>
          <w:spacing w:val="-5"/>
          <w:sz w:val="16"/>
        </w:rPr>
        <w:t>A.G.,</w:t>
      </w:r>
      <w:r>
        <w:rPr>
          <w:color w:val="231F20"/>
          <w:spacing w:val="-6"/>
          <w:sz w:val="16"/>
        </w:rPr>
        <w:t> </w:t>
      </w:r>
      <w:r>
        <w:rPr>
          <w:color w:val="231F20"/>
          <w:sz w:val="16"/>
        </w:rPr>
        <w:t>and</w:t>
      </w:r>
      <w:r>
        <w:rPr>
          <w:color w:val="231F20"/>
          <w:spacing w:val="-6"/>
          <w:sz w:val="16"/>
        </w:rPr>
        <w:t> </w:t>
      </w:r>
      <w:r>
        <w:rPr>
          <w:color w:val="231F20"/>
          <w:sz w:val="16"/>
        </w:rPr>
        <w:t>Koski,</w:t>
      </w:r>
      <w:r>
        <w:rPr>
          <w:color w:val="231F20"/>
          <w:spacing w:val="-6"/>
          <w:sz w:val="16"/>
        </w:rPr>
        <w:t> </w:t>
      </w:r>
      <w:r>
        <w:rPr>
          <w:color w:val="231F20"/>
          <w:sz w:val="16"/>
        </w:rPr>
        <w:t>R.A.,</w:t>
      </w:r>
      <w:r>
        <w:rPr>
          <w:color w:val="231F20"/>
          <w:spacing w:val="-6"/>
          <w:sz w:val="16"/>
        </w:rPr>
        <w:t> </w:t>
      </w:r>
      <w:r>
        <w:rPr>
          <w:color w:val="231F20"/>
          <w:sz w:val="16"/>
        </w:rPr>
        <w:t>1999,</w:t>
      </w:r>
      <w:r>
        <w:rPr>
          <w:color w:val="231F20"/>
          <w:spacing w:val="-6"/>
          <w:sz w:val="16"/>
        </w:rPr>
        <w:t> </w:t>
      </w:r>
      <w:r>
        <w:rPr>
          <w:color w:val="231F20"/>
          <w:sz w:val="16"/>
        </w:rPr>
        <w:t>Setting</w:t>
      </w:r>
      <w:r>
        <w:rPr>
          <w:color w:val="231F20"/>
          <w:spacing w:val="-6"/>
          <w:sz w:val="16"/>
        </w:rPr>
        <w:t> </w:t>
      </w:r>
      <w:r>
        <w:rPr>
          <w:color w:val="231F20"/>
          <w:sz w:val="16"/>
        </w:rPr>
        <w:t>and</w:t>
      </w:r>
      <w:r>
        <w:rPr>
          <w:color w:val="231F20"/>
          <w:spacing w:val="-6"/>
          <w:sz w:val="16"/>
        </w:rPr>
        <w:t> </w:t>
      </w:r>
      <w:r>
        <w:rPr>
          <w:color w:val="231F20"/>
          <w:sz w:val="16"/>
        </w:rPr>
        <w:t>characteristics</w:t>
      </w:r>
      <w:r>
        <w:rPr>
          <w:color w:val="231F20"/>
          <w:spacing w:val="-6"/>
          <w:sz w:val="16"/>
        </w:rPr>
        <w:t> </w:t>
      </w:r>
      <w:r>
        <w:rPr>
          <w:color w:val="231F20"/>
          <w:sz w:val="16"/>
        </w:rPr>
        <w:t>of</w:t>
      </w:r>
      <w:r>
        <w:rPr>
          <w:color w:val="231F20"/>
          <w:spacing w:val="-6"/>
          <w:sz w:val="16"/>
        </w:rPr>
        <w:t> </w:t>
      </w:r>
      <w:r>
        <w:rPr>
          <w:color w:val="231F20"/>
          <w:sz w:val="16"/>
        </w:rPr>
        <w:t>ophiolite- hosted volcanogenic massive sulfide deposits, </w:t>
      </w:r>
      <w:r>
        <w:rPr>
          <w:i/>
          <w:color w:val="231F20"/>
          <w:sz w:val="16"/>
        </w:rPr>
        <w:t>in </w:t>
      </w:r>
      <w:r>
        <w:rPr>
          <w:color w:val="231F20"/>
          <w:sz w:val="16"/>
        </w:rPr>
        <w:t>Barrie, </w:t>
      </w:r>
      <w:r>
        <w:rPr>
          <w:color w:val="231F20"/>
          <w:spacing w:val="-3"/>
          <w:sz w:val="16"/>
        </w:rPr>
        <w:t>C.T., </w:t>
      </w:r>
      <w:r>
        <w:rPr>
          <w:color w:val="231F20"/>
          <w:sz w:val="16"/>
        </w:rPr>
        <w:t>and Hannington, M.D., eds., Volcanic-Associated Massive Sulfide Deposits: Processes and Examples in Modern and Ancient Settings: Reviews in Economic </w:t>
      </w:r>
      <w:r>
        <w:rPr>
          <w:color w:val="231F20"/>
          <w:spacing w:val="-3"/>
          <w:sz w:val="16"/>
        </w:rPr>
        <w:t>Geology, </w:t>
      </w:r>
      <w:r>
        <w:rPr>
          <w:color w:val="231F20"/>
          <w:spacing w:val="-6"/>
          <w:sz w:val="16"/>
        </w:rPr>
        <w:t>v. </w:t>
      </w:r>
      <w:r>
        <w:rPr>
          <w:color w:val="231F20"/>
          <w:sz w:val="16"/>
        </w:rPr>
        <w:t>8, p.</w:t>
      </w:r>
      <w:r>
        <w:rPr>
          <w:color w:val="231F20"/>
          <w:spacing w:val="37"/>
          <w:sz w:val="16"/>
        </w:rPr>
        <w:t> </w:t>
      </w:r>
      <w:r>
        <w:rPr>
          <w:color w:val="231F20"/>
          <w:sz w:val="16"/>
        </w:rPr>
        <w:t>215-236.</w:t>
      </w:r>
    </w:p>
    <w:p>
      <w:pPr>
        <w:spacing w:line="230" w:lineRule="auto" w:before="25"/>
        <w:ind w:left="1388" w:right="0" w:hanging="288"/>
        <w:jc w:val="both"/>
        <w:rPr>
          <w:sz w:val="16"/>
        </w:rPr>
      </w:pPr>
      <w:r>
        <w:rPr>
          <w:color w:val="231F20"/>
          <w:spacing w:val="-3"/>
          <w:sz w:val="16"/>
        </w:rPr>
        <w:t>Galley, </w:t>
      </w:r>
      <w:r>
        <w:rPr>
          <w:color w:val="231F20"/>
          <w:spacing w:val="-5"/>
          <w:sz w:val="16"/>
        </w:rPr>
        <w:t>A.G., </w:t>
      </w:r>
      <w:r>
        <w:rPr>
          <w:color w:val="231F20"/>
          <w:sz w:val="16"/>
        </w:rPr>
        <w:t>Bailes, A.H., and Kitzler, </w:t>
      </w:r>
      <w:r>
        <w:rPr>
          <w:color w:val="231F20"/>
          <w:spacing w:val="-7"/>
          <w:sz w:val="16"/>
        </w:rPr>
        <w:t>G., </w:t>
      </w:r>
      <w:r>
        <w:rPr>
          <w:color w:val="231F20"/>
          <w:sz w:val="16"/>
        </w:rPr>
        <w:t>1993, Geological setting and hydrothermal</w:t>
      </w:r>
      <w:r>
        <w:rPr>
          <w:color w:val="231F20"/>
          <w:spacing w:val="-7"/>
          <w:sz w:val="16"/>
        </w:rPr>
        <w:t> </w:t>
      </w:r>
      <w:r>
        <w:rPr>
          <w:color w:val="231F20"/>
          <w:sz w:val="16"/>
        </w:rPr>
        <w:t>evolution</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Chisel</w:t>
      </w:r>
      <w:r>
        <w:rPr>
          <w:color w:val="231F20"/>
          <w:spacing w:val="-7"/>
          <w:sz w:val="16"/>
        </w:rPr>
        <w:t> </w:t>
      </w:r>
      <w:r>
        <w:rPr>
          <w:color w:val="231F20"/>
          <w:sz w:val="16"/>
        </w:rPr>
        <w:t>Lake</w:t>
      </w:r>
      <w:r>
        <w:rPr>
          <w:color w:val="231F20"/>
          <w:spacing w:val="-7"/>
          <w:sz w:val="16"/>
        </w:rPr>
        <w:t> </w:t>
      </w:r>
      <w:r>
        <w:rPr>
          <w:color w:val="231F20"/>
          <w:sz w:val="16"/>
        </w:rPr>
        <w:t>and</w:t>
      </w:r>
      <w:r>
        <w:rPr>
          <w:color w:val="231F20"/>
          <w:spacing w:val="-7"/>
          <w:sz w:val="16"/>
        </w:rPr>
        <w:t> </w:t>
      </w:r>
      <w:r>
        <w:rPr>
          <w:color w:val="231F20"/>
          <w:sz w:val="16"/>
        </w:rPr>
        <w:t>North</w:t>
      </w:r>
      <w:r>
        <w:rPr>
          <w:color w:val="231F20"/>
          <w:spacing w:val="-7"/>
          <w:sz w:val="16"/>
        </w:rPr>
        <w:t> </w:t>
      </w:r>
      <w:r>
        <w:rPr>
          <w:color w:val="231F20"/>
          <w:sz w:val="16"/>
        </w:rPr>
        <w:t>Chisel</w:t>
      </w:r>
      <w:r>
        <w:rPr>
          <w:color w:val="231F20"/>
          <w:spacing w:val="-7"/>
          <w:sz w:val="16"/>
        </w:rPr>
        <w:t> </w:t>
      </w:r>
      <w:r>
        <w:rPr>
          <w:color w:val="231F20"/>
          <w:sz w:val="16"/>
        </w:rPr>
        <w:t>Zn-Pb-Ag- Au massive sulphide deposit, Snow Lake, Manitoba: Exploration and Mining </w:t>
      </w:r>
      <w:r>
        <w:rPr>
          <w:color w:val="231F20"/>
          <w:spacing w:val="-3"/>
          <w:sz w:val="16"/>
        </w:rPr>
        <w:t>Geology, </w:t>
      </w:r>
      <w:r>
        <w:rPr>
          <w:color w:val="231F20"/>
          <w:spacing w:val="-6"/>
          <w:sz w:val="16"/>
        </w:rPr>
        <w:t>v. </w:t>
      </w:r>
      <w:r>
        <w:rPr>
          <w:color w:val="231F20"/>
          <w:sz w:val="16"/>
        </w:rPr>
        <w:t>2, p.</w:t>
      </w:r>
      <w:r>
        <w:rPr>
          <w:color w:val="231F20"/>
          <w:spacing w:val="27"/>
          <w:sz w:val="16"/>
        </w:rPr>
        <w:t> </w:t>
      </w:r>
      <w:r>
        <w:rPr>
          <w:color w:val="231F20"/>
          <w:sz w:val="16"/>
        </w:rPr>
        <w:t>271-295.</w:t>
      </w:r>
    </w:p>
    <w:p>
      <w:pPr>
        <w:spacing w:line="230" w:lineRule="auto" w:before="27"/>
        <w:ind w:left="1388" w:right="1" w:hanging="288"/>
        <w:jc w:val="both"/>
        <w:rPr>
          <w:sz w:val="16"/>
        </w:rPr>
      </w:pPr>
      <w:r>
        <w:rPr>
          <w:color w:val="231F20"/>
          <w:sz w:val="16"/>
        </w:rPr>
        <w:t>Gibson, H.L., and Watkinson, D.H., 1990, Volcanogenic massive sulphide deposits</w:t>
      </w:r>
      <w:r>
        <w:rPr>
          <w:color w:val="231F20"/>
          <w:spacing w:val="-7"/>
          <w:sz w:val="16"/>
        </w:rPr>
        <w:t> </w:t>
      </w:r>
      <w:r>
        <w:rPr>
          <w:color w:val="231F20"/>
          <w:sz w:val="16"/>
        </w:rPr>
        <w:t>of</w:t>
      </w:r>
      <w:r>
        <w:rPr>
          <w:color w:val="231F20"/>
          <w:spacing w:val="-7"/>
          <w:sz w:val="16"/>
        </w:rPr>
        <w:t> </w:t>
      </w:r>
      <w:r>
        <w:rPr>
          <w:color w:val="231F20"/>
          <w:sz w:val="16"/>
        </w:rPr>
        <w:t>the</w:t>
      </w:r>
      <w:r>
        <w:rPr>
          <w:color w:val="231F20"/>
          <w:spacing w:val="-7"/>
          <w:sz w:val="16"/>
        </w:rPr>
        <w:t> </w:t>
      </w:r>
      <w:r>
        <w:rPr>
          <w:color w:val="231F20"/>
          <w:sz w:val="16"/>
        </w:rPr>
        <w:t>Noranda</w:t>
      </w:r>
      <w:r>
        <w:rPr>
          <w:color w:val="231F20"/>
          <w:spacing w:val="-7"/>
          <w:sz w:val="16"/>
        </w:rPr>
        <w:t> </w:t>
      </w:r>
      <w:r>
        <w:rPr>
          <w:color w:val="231F20"/>
          <w:sz w:val="16"/>
        </w:rPr>
        <w:t>Cauldron</w:t>
      </w:r>
      <w:r>
        <w:rPr>
          <w:color w:val="231F20"/>
          <w:spacing w:val="-7"/>
          <w:sz w:val="16"/>
        </w:rPr>
        <w:t> </w:t>
      </w:r>
      <w:r>
        <w:rPr>
          <w:color w:val="231F20"/>
          <w:sz w:val="16"/>
        </w:rPr>
        <w:t>and</w:t>
      </w:r>
      <w:r>
        <w:rPr>
          <w:color w:val="231F20"/>
          <w:spacing w:val="-7"/>
          <w:sz w:val="16"/>
        </w:rPr>
        <w:t> </w:t>
      </w:r>
      <w:r>
        <w:rPr>
          <w:color w:val="231F20"/>
          <w:sz w:val="16"/>
        </w:rPr>
        <w:t>Shield</w:t>
      </w:r>
      <w:r>
        <w:rPr>
          <w:color w:val="231F20"/>
          <w:spacing w:val="-10"/>
          <w:sz w:val="16"/>
        </w:rPr>
        <w:t> </w:t>
      </w:r>
      <w:r>
        <w:rPr>
          <w:color w:val="231F20"/>
          <w:spacing w:val="-3"/>
          <w:sz w:val="16"/>
        </w:rPr>
        <w:t>Volcano,</w:t>
      </w:r>
      <w:r>
        <w:rPr>
          <w:color w:val="231F20"/>
          <w:spacing w:val="-7"/>
          <w:sz w:val="16"/>
        </w:rPr>
        <w:t> </w:t>
      </w:r>
      <w:r>
        <w:rPr>
          <w:color w:val="231F20"/>
          <w:sz w:val="16"/>
        </w:rPr>
        <w:t>Quebec,</w:t>
      </w:r>
      <w:r>
        <w:rPr>
          <w:color w:val="231F20"/>
          <w:spacing w:val="-6"/>
          <w:sz w:val="16"/>
        </w:rPr>
        <w:t> </w:t>
      </w:r>
      <w:r>
        <w:rPr>
          <w:i/>
          <w:color w:val="231F20"/>
          <w:sz w:val="16"/>
        </w:rPr>
        <w:t>in</w:t>
      </w:r>
      <w:r>
        <w:rPr>
          <w:i/>
          <w:color w:val="231F20"/>
          <w:spacing w:val="-7"/>
          <w:sz w:val="16"/>
        </w:rPr>
        <w:t> </w:t>
      </w:r>
      <w:r>
        <w:rPr>
          <w:color w:val="231F20"/>
          <w:sz w:val="16"/>
        </w:rPr>
        <w:t>Rive, M., Verpaelst, </w:t>
      </w:r>
      <w:r>
        <w:rPr>
          <w:color w:val="231F20"/>
          <w:spacing w:val="-6"/>
          <w:sz w:val="16"/>
        </w:rPr>
        <w:t>P., </w:t>
      </w:r>
      <w:r>
        <w:rPr>
          <w:color w:val="231F20"/>
          <w:sz w:val="16"/>
        </w:rPr>
        <w:t>Gagnon, </w:t>
      </w:r>
      <w:r>
        <w:rPr>
          <w:color w:val="231F20"/>
          <w:spacing w:val="-7"/>
          <w:sz w:val="16"/>
        </w:rPr>
        <w:t>Y., </w:t>
      </w:r>
      <w:r>
        <w:rPr>
          <w:color w:val="231F20"/>
          <w:sz w:val="16"/>
        </w:rPr>
        <w:t>Lulin, J.M., Riverin, </w:t>
      </w:r>
      <w:r>
        <w:rPr>
          <w:color w:val="231F20"/>
          <w:spacing w:val="-7"/>
          <w:sz w:val="16"/>
        </w:rPr>
        <w:t>G., </w:t>
      </w:r>
      <w:r>
        <w:rPr>
          <w:color w:val="231F20"/>
          <w:sz w:val="16"/>
        </w:rPr>
        <w:t>and Simard, A., eds., The Northwestern Quebec Polymetallic Belt: Canadian Institute for Mining and Metallurgy, Special </w:t>
      </w:r>
      <w:r>
        <w:rPr>
          <w:color w:val="231F20"/>
          <w:spacing w:val="-4"/>
          <w:sz w:val="16"/>
        </w:rPr>
        <w:t>Volume </w:t>
      </w:r>
      <w:r>
        <w:rPr>
          <w:color w:val="231F20"/>
          <w:sz w:val="16"/>
        </w:rPr>
        <w:t>43, p.</w:t>
      </w:r>
      <w:r>
        <w:rPr>
          <w:color w:val="231F20"/>
          <w:spacing w:val="18"/>
          <w:sz w:val="16"/>
        </w:rPr>
        <w:t> </w:t>
      </w:r>
      <w:r>
        <w:rPr>
          <w:color w:val="231F20"/>
          <w:sz w:val="16"/>
        </w:rPr>
        <w:t>119-132.</w:t>
      </w:r>
    </w:p>
    <w:p>
      <w:pPr>
        <w:spacing w:line="230" w:lineRule="auto" w:before="25"/>
        <w:ind w:left="1388" w:right="1" w:hanging="288"/>
        <w:jc w:val="both"/>
        <w:rPr>
          <w:sz w:val="16"/>
        </w:rPr>
      </w:pPr>
      <w:r>
        <w:rPr>
          <w:color w:val="231F20"/>
          <w:sz w:val="16"/>
        </w:rPr>
        <w:t>Goodfellow, W.D., Zierenberg, R.A., and ODP 196 Shipboards Science Party, 1999, Genesis of massive sulfide deposits at sediment-covered spreading centers, </w:t>
      </w:r>
      <w:r>
        <w:rPr>
          <w:i/>
          <w:color w:val="231F20"/>
          <w:sz w:val="16"/>
        </w:rPr>
        <w:t>in </w:t>
      </w:r>
      <w:r>
        <w:rPr>
          <w:color w:val="231F20"/>
          <w:sz w:val="16"/>
        </w:rPr>
        <w:t>Barrie, C.T., and Hannington, M.D., eds., Volcanic-Associated Massive Sulfide Deposits: Processes and Examples in Modern and Ancient Settings: Reviews in Economic Geology, v. 8, Society of Economic Geologists, p. 297-324.</w:t>
      </w:r>
    </w:p>
    <w:p>
      <w:pPr>
        <w:spacing w:line="230" w:lineRule="auto" w:before="25"/>
        <w:ind w:left="1388" w:right="1" w:hanging="288"/>
        <w:jc w:val="both"/>
        <w:rPr>
          <w:sz w:val="16"/>
        </w:rPr>
      </w:pPr>
      <w:r>
        <w:rPr>
          <w:color w:val="231F20"/>
          <w:sz w:val="16"/>
        </w:rPr>
        <w:t>Goodfellow, </w:t>
      </w:r>
      <w:r>
        <w:rPr>
          <w:color w:val="231F20"/>
          <w:spacing w:val="-3"/>
          <w:sz w:val="16"/>
        </w:rPr>
        <w:t>W.D., </w:t>
      </w:r>
      <w:r>
        <w:rPr>
          <w:color w:val="231F20"/>
          <w:sz w:val="16"/>
        </w:rPr>
        <w:t>McCutcheon, S.R., and Peter, J.M., 2003, Massive sul- fide deposits of the Bathurst Mining Camp, New Brunswick and Northern</w:t>
      </w:r>
      <w:r>
        <w:rPr>
          <w:color w:val="231F20"/>
          <w:spacing w:val="-11"/>
          <w:sz w:val="16"/>
        </w:rPr>
        <w:t> </w:t>
      </w:r>
      <w:r>
        <w:rPr>
          <w:color w:val="231F20"/>
          <w:sz w:val="16"/>
        </w:rPr>
        <w:t>Maine:</w:t>
      </w:r>
      <w:r>
        <w:rPr>
          <w:color w:val="231F20"/>
          <w:spacing w:val="-11"/>
          <w:sz w:val="16"/>
        </w:rPr>
        <w:t> </w:t>
      </w:r>
      <w:r>
        <w:rPr>
          <w:color w:val="231F20"/>
          <w:sz w:val="16"/>
        </w:rPr>
        <w:t>Introduction</w:t>
      </w:r>
      <w:r>
        <w:rPr>
          <w:color w:val="231F20"/>
          <w:spacing w:val="-11"/>
          <w:sz w:val="16"/>
        </w:rPr>
        <w:t> </w:t>
      </w:r>
      <w:r>
        <w:rPr>
          <w:color w:val="231F20"/>
          <w:sz w:val="16"/>
        </w:rPr>
        <w:t>and</w:t>
      </w:r>
      <w:r>
        <w:rPr>
          <w:color w:val="231F20"/>
          <w:spacing w:val="-11"/>
          <w:sz w:val="16"/>
        </w:rPr>
        <w:t> </w:t>
      </w:r>
      <w:r>
        <w:rPr>
          <w:color w:val="231F20"/>
          <w:sz w:val="16"/>
        </w:rPr>
        <w:t>summary</w:t>
      </w:r>
      <w:r>
        <w:rPr>
          <w:color w:val="231F20"/>
          <w:spacing w:val="-11"/>
          <w:sz w:val="16"/>
        </w:rPr>
        <w:t> </w:t>
      </w:r>
      <w:r>
        <w:rPr>
          <w:color w:val="231F20"/>
          <w:sz w:val="16"/>
        </w:rPr>
        <w:t>of</w:t>
      </w:r>
      <w:r>
        <w:rPr>
          <w:color w:val="231F20"/>
          <w:spacing w:val="-11"/>
          <w:sz w:val="16"/>
        </w:rPr>
        <w:t> </w:t>
      </w:r>
      <w:r>
        <w:rPr>
          <w:color w:val="231F20"/>
          <w:sz w:val="16"/>
        </w:rPr>
        <w:t>findings,</w:t>
      </w:r>
      <w:r>
        <w:rPr>
          <w:color w:val="231F20"/>
          <w:spacing w:val="-11"/>
          <w:sz w:val="16"/>
        </w:rPr>
        <w:t> </w:t>
      </w:r>
      <w:r>
        <w:rPr>
          <w:i/>
          <w:color w:val="231F20"/>
          <w:sz w:val="16"/>
        </w:rPr>
        <w:t>in</w:t>
      </w:r>
      <w:r>
        <w:rPr>
          <w:i/>
          <w:color w:val="231F20"/>
          <w:spacing w:val="-11"/>
          <w:sz w:val="16"/>
        </w:rPr>
        <w:t> </w:t>
      </w:r>
      <w:r>
        <w:rPr>
          <w:color w:val="231F20"/>
          <w:sz w:val="16"/>
        </w:rPr>
        <w:t>Goodfellow, </w:t>
      </w:r>
      <w:r>
        <w:rPr>
          <w:color w:val="231F20"/>
          <w:spacing w:val="-3"/>
          <w:sz w:val="16"/>
        </w:rPr>
        <w:t>W.D., </w:t>
      </w:r>
      <w:r>
        <w:rPr>
          <w:color w:val="231F20"/>
          <w:sz w:val="16"/>
        </w:rPr>
        <w:t>McCutcheon, S.R., and Peter, J.M., eds., Massive Sulfide Deposits of the Bathurst Mining Camp, New Brunswick, and northern Maine: Economic Geology Monograph 11, Society of Economic Geologists, p.</w:t>
      </w:r>
      <w:r>
        <w:rPr>
          <w:color w:val="231F20"/>
          <w:spacing w:val="5"/>
          <w:sz w:val="16"/>
        </w:rPr>
        <w:t> </w:t>
      </w:r>
      <w:r>
        <w:rPr>
          <w:color w:val="231F20"/>
          <w:sz w:val="16"/>
        </w:rPr>
        <w:t>1-16.</w:t>
      </w:r>
    </w:p>
    <w:p>
      <w:pPr>
        <w:spacing w:line="230" w:lineRule="auto" w:before="25"/>
        <w:ind w:left="1388" w:right="1" w:hanging="288"/>
        <w:jc w:val="both"/>
        <w:rPr>
          <w:sz w:val="16"/>
        </w:rPr>
      </w:pPr>
      <w:r>
        <w:rPr>
          <w:color w:val="231F20"/>
          <w:sz w:val="16"/>
        </w:rPr>
        <w:t>Green, G.R., Ohmoto, H., Date, J., and Takahashi, T., 1983, Whole-rock oxygen isotope distribution in the Fukazawa-Kosaka area, Hokuroko district, Japan, and its potential application to mineral exploration, </w:t>
      </w:r>
      <w:r>
        <w:rPr>
          <w:i/>
          <w:color w:val="231F20"/>
          <w:sz w:val="16"/>
        </w:rPr>
        <w:t>in </w:t>
      </w:r>
      <w:r>
        <w:rPr>
          <w:color w:val="231F20"/>
          <w:sz w:val="16"/>
        </w:rPr>
        <w:t>Ohnoto, H., and Skinner, B.J., ed., The Kuroko and Related Volcanogenic Massive Sulfide Deposits: Economic Geology Monograph 5, Society of Economic Geologists, p. 395-511.</w:t>
      </w:r>
    </w:p>
    <w:p>
      <w:pPr>
        <w:spacing w:line="230" w:lineRule="auto" w:before="25"/>
        <w:ind w:left="1388" w:right="0" w:hanging="288"/>
        <w:jc w:val="both"/>
        <w:rPr>
          <w:sz w:val="16"/>
        </w:rPr>
      </w:pPr>
      <w:r>
        <w:rPr>
          <w:color w:val="231F20"/>
          <w:sz w:val="16"/>
        </w:rPr>
        <w:t>Groves, D.I., Goldfarb, R.J., Gebre-Mariam, H., Hagemann, S.G., and Robert, F., 1998, Orogenic gold deposits - a proposed classification in the context of their crustal distribution and relationship to other gold deposit types: Ore Geology Reviews, v. 13, p. 7-27.</w:t>
      </w:r>
    </w:p>
    <w:p>
      <w:pPr>
        <w:spacing w:line="230" w:lineRule="auto" w:before="26"/>
        <w:ind w:left="1388" w:right="2" w:hanging="288"/>
        <w:jc w:val="both"/>
        <w:rPr>
          <w:sz w:val="16"/>
        </w:rPr>
      </w:pPr>
      <w:r>
        <w:rPr>
          <w:color w:val="231F20"/>
          <w:sz w:val="16"/>
        </w:rPr>
        <w:t>Hamilton, W.B., 1995, Subduction systems and magmatism: Geological Society of London Special Publication, v. 81, p. 3-28.</w:t>
      </w:r>
    </w:p>
    <w:p>
      <w:pPr>
        <w:spacing w:line="230" w:lineRule="auto" w:before="28"/>
        <w:ind w:left="1388" w:right="0" w:hanging="288"/>
        <w:jc w:val="both"/>
        <w:rPr>
          <w:sz w:val="16"/>
        </w:rPr>
      </w:pPr>
      <w:r>
        <w:rPr>
          <w:color w:val="231F20"/>
          <w:sz w:val="16"/>
        </w:rPr>
        <w:t>Hannington, M.D., Jonasson, I.R., Herzig, P.M., and Petersen, S., 1995, Physical and chemical processes of seafloor mineralization at mid- ocean ridges, </w:t>
      </w:r>
      <w:r>
        <w:rPr>
          <w:i/>
          <w:color w:val="231F20"/>
          <w:sz w:val="16"/>
        </w:rPr>
        <w:t>in </w:t>
      </w:r>
      <w:r>
        <w:rPr>
          <w:color w:val="231F20"/>
          <w:sz w:val="16"/>
        </w:rPr>
        <w:t>Humphris, S., ed., Seafloor Hydrothermal Systems: Physical, Chemical, Biological, and Geological Interactions: American Geophysical Union, Geophysical Monograph v. 91, p. 115-157.</w:t>
      </w:r>
    </w:p>
    <w:p>
      <w:pPr>
        <w:spacing w:line="230" w:lineRule="auto" w:before="25"/>
        <w:ind w:left="1388" w:right="1" w:hanging="288"/>
        <w:jc w:val="both"/>
        <w:rPr>
          <w:sz w:val="16"/>
        </w:rPr>
      </w:pPr>
      <w:r>
        <w:rPr>
          <w:color w:val="231F20"/>
          <w:sz w:val="16"/>
        </w:rPr>
        <w:t>Hannington, M.D., Galley, A.G., Herzig, P.M., and Petersen, S., 1998, Comparison of the TAG mound and stockwork complex with Cyprus- type massive sulfide deposits; Proceedings of the Ocean Drilling Program, Scientific Results Volume 158, College Station, TX, p. 389- 415.</w:t>
      </w:r>
    </w:p>
    <w:p>
      <w:pPr>
        <w:spacing w:line="230" w:lineRule="auto" w:before="26"/>
        <w:ind w:left="1388" w:right="0" w:hanging="288"/>
        <w:jc w:val="both"/>
        <w:rPr>
          <w:sz w:val="16"/>
        </w:rPr>
      </w:pPr>
      <w:r>
        <w:rPr>
          <w:color w:val="231F20"/>
          <w:sz w:val="16"/>
        </w:rPr>
        <w:t>Hannington, M.D., Barrie, C.T., and Bleeker, W., 1999a, The giant Kidd Creek volcanogenic massive sulfide deposit, western Abitibi</w:t>
      </w:r>
    </w:p>
    <w:p>
      <w:pPr>
        <w:pStyle w:val="BodyText"/>
        <w:spacing w:before="5"/>
        <w:rPr>
          <w:sz w:val="17"/>
        </w:rPr>
      </w:pPr>
      <w:r>
        <w:rPr/>
        <w:br w:type="column"/>
      </w:r>
      <w:r>
        <w:rPr>
          <w:sz w:val="17"/>
        </w:rPr>
      </w:r>
    </w:p>
    <w:p>
      <w:pPr>
        <w:spacing w:line="230" w:lineRule="auto" w:before="0"/>
        <w:ind w:left="604" w:right="1098" w:firstLine="0"/>
        <w:jc w:val="both"/>
        <w:rPr>
          <w:sz w:val="16"/>
        </w:rPr>
      </w:pPr>
      <w:r>
        <w:rPr>
          <w:color w:val="231F20"/>
          <w:sz w:val="16"/>
        </w:rPr>
        <w:t>Subprovince, Canada, </w:t>
      </w:r>
      <w:r>
        <w:rPr>
          <w:i/>
          <w:color w:val="231F20"/>
          <w:sz w:val="16"/>
        </w:rPr>
        <w:t>in </w:t>
      </w:r>
      <w:r>
        <w:rPr>
          <w:color w:val="231F20"/>
          <w:sz w:val="16"/>
        </w:rPr>
        <w:t>Hannington, M.D., and Barrie, </w:t>
      </w:r>
      <w:r>
        <w:rPr>
          <w:color w:val="231F20"/>
          <w:spacing w:val="-3"/>
          <w:sz w:val="16"/>
        </w:rPr>
        <w:t>C.T., </w:t>
      </w:r>
      <w:r>
        <w:rPr>
          <w:color w:val="231F20"/>
          <w:sz w:val="16"/>
        </w:rPr>
        <w:t>eds., The Giant Kidd Creek Volcanogenic Massive Sulfide Deposit, Western </w:t>
      </w:r>
      <w:r>
        <w:rPr>
          <w:color w:val="231F20"/>
          <w:spacing w:val="-3"/>
          <w:sz w:val="16"/>
        </w:rPr>
        <w:t>Abitibi</w:t>
      </w:r>
      <w:r>
        <w:rPr>
          <w:color w:val="231F20"/>
          <w:spacing w:val="-8"/>
          <w:sz w:val="16"/>
        </w:rPr>
        <w:t> </w:t>
      </w:r>
      <w:r>
        <w:rPr>
          <w:color w:val="231F20"/>
          <w:spacing w:val="-3"/>
          <w:sz w:val="16"/>
        </w:rPr>
        <w:t>Subprovince,</w:t>
      </w:r>
      <w:r>
        <w:rPr>
          <w:color w:val="231F20"/>
          <w:spacing w:val="-8"/>
          <w:sz w:val="16"/>
        </w:rPr>
        <w:t> </w:t>
      </w:r>
      <w:r>
        <w:rPr>
          <w:color w:val="231F20"/>
          <w:spacing w:val="-3"/>
          <w:sz w:val="16"/>
        </w:rPr>
        <w:t>Canada:</w:t>
      </w:r>
      <w:r>
        <w:rPr>
          <w:color w:val="231F20"/>
          <w:spacing w:val="-8"/>
          <w:sz w:val="16"/>
        </w:rPr>
        <w:t> </w:t>
      </w:r>
      <w:r>
        <w:rPr>
          <w:color w:val="231F20"/>
          <w:spacing w:val="-3"/>
          <w:sz w:val="16"/>
        </w:rPr>
        <w:t>Economic</w:t>
      </w:r>
      <w:r>
        <w:rPr>
          <w:color w:val="231F20"/>
          <w:spacing w:val="-8"/>
          <w:sz w:val="16"/>
        </w:rPr>
        <w:t> </w:t>
      </w:r>
      <w:r>
        <w:rPr>
          <w:color w:val="231F20"/>
          <w:spacing w:val="-3"/>
          <w:sz w:val="16"/>
        </w:rPr>
        <w:t>Geology</w:t>
      </w:r>
      <w:r>
        <w:rPr>
          <w:color w:val="231F20"/>
          <w:spacing w:val="-8"/>
          <w:sz w:val="16"/>
        </w:rPr>
        <w:t> </w:t>
      </w:r>
      <w:r>
        <w:rPr>
          <w:color w:val="231F20"/>
          <w:spacing w:val="-3"/>
          <w:sz w:val="16"/>
        </w:rPr>
        <w:t>Monograph</w:t>
      </w:r>
      <w:r>
        <w:rPr>
          <w:color w:val="231F20"/>
          <w:spacing w:val="-8"/>
          <w:sz w:val="16"/>
        </w:rPr>
        <w:t> </w:t>
      </w:r>
      <w:r>
        <w:rPr>
          <w:color w:val="231F20"/>
          <w:sz w:val="16"/>
        </w:rPr>
        <w:t>10,</w:t>
      </w:r>
      <w:r>
        <w:rPr>
          <w:color w:val="231F20"/>
          <w:spacing w:val="-8"/>
          <w:sz w:val="16"/>
        </w:rPr>
        <w:t> </w:t>
      </w:r>
      <w:r>
        <w:rPr>
          <w:color w:val="231F20"/>
          <w:sz w:val="16"/>
        </w:rPr>
        <w:t>p.</w:t>
      </w:r>
      <w:r>
        <w:rPr>
          <w:color w:val="231F20"/>
          <w:spacing w:val="-8"/>
          <w:sz w:val="16"/>
        </w:rPr>
        <w:t> </w:t>
      </w:r>
      <w:r>
        <w:rPr>
          <w:color w:val="231F20"/>
          <w:spacing w:val="-3"/>
          <w:sz w:val="16"/>
        </w:rPr>
        <w:t>1-30.</w:t>
      </w:r>
    </w:p>
    <w:p>
      <w:pPr>
        <w:spacing w:line="230" w:lineRule="auto" w:before="27"/>
        <w:ind w:left="604" w:right="1098" w:hanging="288"/>
        <w:jc w:val="both"/>
        <w:rPr>
          <w:sz w:val="16"/>
        </w:rPr>
      </w:pPr>
      <w:r>
        <w:rPr>
          <w:color w:val="231F20"/>
          <w:sz w:val="16"/>
        </w:rPr>
        <w:t>Hannington, M.D., Bleeker, </w:t>
      </w:r>
      <w:r>
        <w:rPr>
          <w:color w:val="231F20"/>
          <w:spacing w:val="-5"/>
          <w:sz w:val="16"/>
        </w:rPr>
        <w:t>W., </w:t>
      </w:r>
      <w:r>
        <w:rPr>
          <w:color w:val="231F20"/>
          <w:sz w:val="16"/>
        </w:rPr>
        <w:t>and Kjarsgaard, I., 1999b, Sulfide mineral- </w:t>
      </w:r>
      <w:r>
        <w:rPr>
          <w:color w:val="231F20"/>
          <w:spacing w:val="-3"/>
          <w:sz w:val="16"/>
        </w:rPr>
        <w:t>ogy, </w:t>
      </w:r>
      <w:r>
        <w:rPr>
          <w:color w:val="231F20"/>
          <w:sz w:val="16"/>
        </w:rPr>
        <w:t>geochemistry and ore genesis of the Kidd Creek deposit: Part II. The bornite zone, </w:t>
      </w:r>
      <w:r>
        <w:rPr>
          <w:i/>
          <w:color w:val="231F20"/>
          <w:sz w:val="16"/>
        </w:rPr>
        <w:t>in </w:t>
      </w:r>
      <w:r>
        <w:rPr>
          <w:color w:val="231F20"/>
          <w:sz w:val="16"/>
        </w:rPr>
        <w:t>Hannington, M.D., and Barrie, </w:t>
      </w:r>
      <w:r>
        <w:rPr>
          <w:color w:val="231F20"/>
          <w:spacing w:val="-3"/>
          <w:sz w:val="16"/>
        </w:rPr>
        <w:t>C.T., </w:t>
      </w:r>
      <w:r>
        <w:rPr>
          <w:color w:val="231F20"/>
          <w:sz w:val="16"/>
        </w:rPr>
        <w:t>eds., The Giant Kidd Creek Volcanogenic Massive Sulfide Deposit, Western Abitibi Subprovince, Canada:  Economic  Geology  Monograph  10,  p.</w:t>
      </w:r>
      <w:r>
        <w:rPr>
          <w:color w:val="231F20"/>
          <w:spacing w:val="2"/>
          <w:sz w:val="16"/>
        </w:rPr>
        <w:t> </w:t>
      </w:r>
      <w:r>
        <w:rPr>
          <w:color w:val="231F20"/>
          <w:sz w:val="16"/>
        </w:rPr>
        <w:t>225-266.</w:t>
      </w:r>
    </w:p>
    <w:p>
      <w:pPr>
        <w:spacing w:line="230" w:lineRule="auto" w:before="25"/>
        <w:ind w:left="604" w:right="1097" w:hanging="288"/>
        <w:jc w:val="both"/>
        <w:rPr>
          <w:sz w:val="16"/>
        </w:rPr>
      </w:pPr>
      <w:r>
        <w:rPr>
          <w:color w:val="231F20"/>
          <w:sz w:val="16"/>
        </w:rPr>
        <w:t>Hannington, M.D., Poulsen, K.H., Thompson, </w:t>
      </w:r>
      <w:r>
        <w:rPr>
          <w:color w:val="231F20"/>
          <w:spacing w:val="-3"/>
          <w:sz w:val="16"/>
        </w:rPr>
        <w:t>J.F.H., </w:t>
      </w:r>
      <w:r>
        <w:rPr>
          <w:color w:val="231F20"/>
          <w:sz w:val="16"/>
        </w:rPr>
        <w:t>and Sillitoe, R.H., 1999c, Volcanogenic gold in the massive sulfide environment, </w:t>
      </w:r>
      <w:r>
        <w:rPr>
          <w:i/>
          <w:color w:val="231F20"/>
          <w:sz w:val="16"/>
        </w:rPr>
        <w:t>in </w:t>
      </w:r>
      <w:r>
        <w:rPr>
          <w:color w:val="231F20"/>
          <w:sz w:val="16"/>
        </w:rPr>
        <w:t>Barrie,</w:t>
      </w:r>
      <w:r>
        <w:rPr>
          <w:color w:val="231F20"/>
          <w:spacing w:val="-9"/>
          <w:sz w:val="16"/>
        </w:rPr>
        <w:t> </w:t>
      </w:r>
      <w:r>
        <w:rPr>
          <w:color w:val="231F20"/>
          <w:spacing w:val="-3"/>
          <w:sz w:val="16"/>
        </w:rPr>
        <w:t>C.T.,</w:t>
      </w:r>
      <w:r>
        <w:rPr>
          <w:color w:val="231F20"/>
          <w:spacing w:val="-9"/>
          <w:sz w:val="16"/>
        </w:rPr>
        <w:t> </w:t>
      </w:r>
      <w:r>
        <w:rPr>
          <w:color w:val="231F20"/>
          <w:sz w:val="16"/>
        </w:rPr>
        <w:t>and</w:t>
      </w:r>
      <w:r>
        <w:rPr>
          <w:color w:val="231F20"/>
          <w:spacing w:val="-9"/>
          <w:sz w:val="16"/>
        </w:rPr>
        <w:t> </w:t>
      </w:r>
      <w:r>
        <w:rPr>
          <w:color w:val="231F20"/>
          <w:sz w:val="16"/>
        </w:rPr>
        <w:t>Hannington,</w:t>
      </w:r>
      <w:r>
        <w:rPr>
          <w:color w:val="231F20"/>
          <w:spacing w:val="-9"/>
          <w:sz w:val="16"/>
        </w:rPr>
        <w:t> </w:t>
      </w:r>
      <w:r>
        <w:rPr>
          <w:color w:val="231F20"/>
          <w:sz w:val="16"/>
        </w:rPr>
        <w:t>M.D.,</w:t>
      </w:r>
      <w:r>
        <w:rPr>
          <w:color w:val="231F20"/>
          <w:spacing w:val="-9"/>
          <w:sz w:val="16"/>
        </w:rPr>
        <w:t> </w:t>
      </w:r>
      <w:r>
        <w:rPr>
          <w:color w:val="231F20"/>
          <w:sz w:val="16"/>
        </w:rPr>
        <w:t>eds.,</w:t>
      </w:r>
      <w:r>
        <w:rPr>
          <w:color w:val="231F20"/>
          <w:spacing w:val="-11"/>
          <w:sz w:val="16"/>
        </w:rPr>
        <w:t> </w:t>
      </w:r>
      <w:r>
        <w:rPr>
          <w:color w:val="231F20"/>
          <w:sz w:val="16"/>
        </w:rPr>
        <w:t>Volcanic-Associated</w:t>
      </w:r>
      <w:r>
        <w:rPr>
          <w:color w:val="231F20"/>
          <w:spacing w:val="-9"/>
          <w:sz w:val="16"/>
        </w:rPr>
        <w:t> </w:t>
      </w:r>
      <w:r>
        <w:rPr>
          <w:color w:val="231F20"/>
          <w:sz w:val="16"/>
        </w:rPr>
        <w:t>Massive Sulfide Deposits: Processes and Examples in Modern and Ancient Settings: Reviews in Economic Geology 8, p.</w:t>
      </w:r>
      <w:r>
        <w:rPr>
          <w:color w:val="231F20"/>
          <w:spacing w:val="21"/>
          <w:sz w:val="16"/>
        </w:rPr>
        <w:t> </w:t>
      </w:r>
      <w:r>
        <w:rPr>
          <w:color w:val="231F20"/>
          <w:sz w:val="16"/>
        </w:rPr>
        <w:t>325-356.</w:t>
      </w:r>
    </w:p>
    <w:p>
      <w:pPr>
        <w:spacing w:line="230" w:lineRule="auto" w:before="26"/>
        <w:ind w:left="604" w:right="1096" w:hanging="288"/>
        <w:jc w:val="both"/>
        <w:rPr>
          <w:sz w:val="16"/>
        </w:rPr>
      </w:pPr>
      <w:r>
        <w:rPr>
          <w:color w:val="231F20"/>
          <w:sz w:val="16"/>
        </w:rPr>
        <w:t>Hannington, M.D., Santaguida, </w:t>
      </w:r>
      <w:r>
        <w:rPr>
          <w:color w:val="231F20"/>
          <w:spacing w:val="-5"/>
          <w:sz w:val="16"/>
        </w:rPr>
        <w:t>F., </w:t>
      </w:r>
      <w:r>
        <w:rPr>
          <w:color w:val="231F20"/>
          <w:sz w:val="16"/>
        </w:rPr>
        <w:t>Kjarsgaard, I.M., and Cathles, L.M., 2003, Regional greenschist facies hydrothermal alteration in the</w:t>
      </w:r>
      <w:r>
        <w:rPr>
          <w:color w:val="231F20"/>
          <w:spacing w:val="-29"/>
          <w:sz w:val="16"/>
        </w:rPr>
        <w:t> </w:t>
      </w:r>
      <w:r>
        <w:rPr>
          <w:color w:val="231F20"/>
          <w:sz w:val="16"/>
        </w:rPr>
        <w:t>central Blake River Group, western Abitibi subprovince, Canada: Mineralium Deposita, </w:t>
      </w:r>
      <w:r>
        <w:rPr>
          <w:color w:val="231F20"/>
          <w:spacing w:val="-6"/>
          <w:sz w:val="16"/>
        </w:rPr>
        <w:t>v. </w:t>
      </w:r>
      <w:r>
        <w:rPr>
          <w:color w:val="231F20"/>
          <w:sz w:val="16"/>
        </w:rPr>
        <w:t>38, p.</w:t>
      </w:r>
      <w:r>
        <w:rPr>
          <w:color w:val="231F20"/>
          <w:spacing w:val="20"/>
          <w:sz w:val="16"/>
        </w:rPr>
        <w:t> </w:t>
      </w:r>
      <w:r>
        <w:rPr>
          <w:color w:val="231F20"/>
          <w:sz w:val="16"/>
        </w:rPr>
        <w:t>393-422.</w:t>
      </w:r>
    </w:p>
    <w:p>
      <w:pPr>
        <w:spacing w:line="230" w:lineRule="auto" w:before="26"/>
        <w:ind w:left="604" w:right="1098" w:hanging="288"/>
        <w:jc w:val="both"/>
        <w:rPr>
          <w:sz w:val="16"/>
        </w:rPr>
      </w:pPr>
      <w:r>
        <w:rPr>
          <w:color w:val="231F20"/>
          <w:sz w:val="16"/>
        </w:rPr>
        <w:t>Herrington, R.J., Armstrong, R.N., Zaykov, </w:t>
      </w:r>
      <w:r>
        <w:rPr>
          <w:color w:val="231F20"/>
          <w:spacing w:val="-8"/>
          <w:sz w:val="16"/>
        </w:rPr>
        <w:t>V.V., </w:t>
      </w:r>
      <w:r>
        <w:rPr>
          <w:color w:val="231F20"/>
          <w:sz w:val="16"/>
        </w:rPr>
        <w:t>Maslennikov, </w:t>
      </w:r>
      <w:r>
        <w:rPr>
          <w:color w:val="231F20"/>
          <w:spacing w:val="-8"/>
          <w:sz w:val="16"/>
        </w:rPr>
        <w:t>V.V., </w:t>
      </w:r>
      <w:r>
        <w:rPr>
          <w:color w:val="231F20"/>
          <w:sz w:val="16"/>
        </w:rPr>
        <w:t>Tessalina,</w:t>
      </w:r>
      <w:r>
        <w:rPr>
          <w:color w:val="231F20"/>
          <w:spacing w:val="-9"/>
          <w:sz w:val="16"/>
        </w:rPr>
        <w:t> </w:t>
      </w:r>
      <w:r>
        <w:rPr>
          <w:color w:val="231F20"/>
          <w:spacing w:val="-5"/>
          <w:sz w:val="16"/>
        </w:rPr>
        <w:t>S.G.,</w:t>
      </w:r>
      <w:r>
        <w:rPr>
          <w:color w:val="231F20"/>
          <w:spacing w:val="-9"/>
          <w:sz w:val="16"/>
        </w:rPr>
        <w:t> </w:t>
      </w:r>
      <w:r>
        <w:rPr>
          <w:color w:val="231F20"/>
          <w:sz w:val="16"/>
        </w:rPr>
        <w:t>Orgeval,</w:t>
      </w:r>
      <w:r>
        <w:rPr>
          <w:color w:val="231F20"/>
          <w:spacing w:val="-9"/>
          <w:sz w:val="16"/>
        </w:rPr>
        <w:t> </w:t>
      </w:r>
      <w:r>
        <w:rPr>
          <w:color w:val="231F20"/>
          <w:sz w:val="16"/>
        </w:rPr>
        <w:t>J.J.,</w:t>
      </w:r>
      <w:r>
        <w:rPr>
          <w:color w:val="231F20"/>
          <w:spacing w:val="-9"/>
          <w:sz w:val="16"/>
        </w:rPr>
        <w:t> </w:t>
      </w:r>
      <w:r>
        <w:rPr>
          <w:color w:val="231F20"/>
          <w:sz w:val="16"/>
        </w:rPr>
        <w:t>and</w:t>
      </w:r>
      <w:r>
        <w:rPr>
          <w:color w:val="231F20"/>
          <w:spacing w:val="-12"/>
          <w:sz w:val="16"/>
        </w:rPr>
        <w:t> </w:t>
      </w:r>
      <w:r>
        <w:rPr>
          <w:color w:val="231F20"/>
          <w:spacing w:val="-3"/>
          <w:sz w:val="16"/>
        </w:rPr>
        <w:t>Taylor,</w:t>
      </w:r>
      <w:r>
        <w:rPr>
          <w:color w:val="231F20"/>
          <w:spacing w:val="-9"/>
          <w:sz w:val="16"/>
        </w:rPr>
        <w:t> </w:t>
      </w:r>
      <w:r>
        <w:rPr>
          <w:color w:val="231F20"/>
          <w:sz w:val="16"/>
        </w:rPr>
        <w:t>R.N.A.,</w:t>
      </w:r>
      <w:r>
        <w:rPr>
          <w:color w:val="231F20"/>
          <w:spacing w:val="-9"/>
          <w:sz w:val="16"/>
        </w:rPr>
        <w:t> </w:t>
      </w:r>
      <w:r>
        <w:rPr>
          <w:color w:val="231F20"/>
          <w:sz w:val="16"/>
        </w:rPr>
        <w:t>2002,</w:t>
      </w:r>
      <w:r>
        <w:rPr>
          <w:color w:val="231F20"/>
          <w:spacing w:val="-9"/>
          <w:sz w:val="16"/>
        </w:rPr>
        <w:t> </w:t>
      </w:r>
      <w:r>
        <w:rPr>
          <w:color w:val="231F20"/>
          <w:sz w:val="16"/>
        </w:rPr>
        <w:t>Massive</w:t>
      </w:r>
      <w:r>
        <w:rPr>
          <w:color w:val="231F20"/>
          <w:spacing w:val="-9"/>
          <w:sz w:val="16"/>
        </w:rPr>
        <w:t> </w:t>
      </w:r>
      <w:r>
        <w:rPr>
          <w:color w:val="231F20"/>
          <w:sz w:val="16"/>
        </w:rPr>
        <w:t>sulfide deposits in the South Urals; geological setting within the framework of the Uralide Orogen, </w:t>
      </w:r>
      <w:r>
        <w:rPr>
          <w:i/>
          <w:color w:val="231F20"/>
          <w:sz w:val="16"/>
        </w:rPr>
        <w:t>in </w:t>
      </w:r>
      <w:r>
        <w:rPr>
          <w:color w:val="231F20"/>
          <w:sz w:val="16"/>
        </w:rPr>
        <w:t>Brown, D., Juhlin, C., and </w:t>
      </w:r>
      <w:r>
        <w:rPr>
          <w:color w:val="231F20"/>
          <w:spacing w:val="-3"/>
          <w:sz w:val="16"/>
        </w:rPr>
        <w:t>Puchkov, </w:t>
      </w:r>
      <w:r>
        <w:rPr>
          <w:color w:val="231F20"/>
          <w:spacing w:val="-7"/>
          <w:sz w:val="16"/>
        </w:rPr>
        <w:t>V., </w:t>
      </w:r>
      <w:r>
        <w:rPr>
          <w:color w:val="231F20"/>
          <w:sz w:val="16"/>
        </w:rPr>
        <w:t>eds., Mountain Building in the Uralides; Pangea to the Present: Geophysical Monograph. 132, p.</w:t>
      </w:r>
      <w:r>
        <w:rPr>
          <w:color w:val="231F20"/>
          <w:spacing w:val="10"/>
          <w:sz w:val="16"/>
        </w:rPr>
        <w:t> </w:t>
      </w:r>
      <w:r>
        <w:rPr>
          <w:color w:val="231F20"/>
          <w:sz w:val="16"/>
        </w:rPr>
        <w:t>155-182.</w:t>
      </w:r>
    </w:p>
    <w:p>
      <w:pPr>
        <w:spacing w:line="247" w:lineRule="auto" w:before="19"/>
        <w:ind w:left="93" w:right="1099" w:firstLine="0"/>
        <w:jc w:val="right"/>
        <w:rPr>
          <w:sz w:val="16"/>
        </w:rPr>
      </w:pPr>
      <w:r>
        <w:rPr>
          <w:color w:val="231F20"/>
          <w:sz w:val="16"/>
        </w:rPr>
        <w:t>Herzig, P.M., and Hannington, M.D., 1995, Polymetallic massive sulfides at the modern seafloor: A review: Ore Geology Reviews, v. 10, p. 95-115. Hodges, D.J., and Manojlovic, P.M., 1993, Application of lithogeochemistry</w:t>
      </w:r>
    </w:p>
    <w:p>
      <w:pPr>
        <w:spacing w:line="230" w:lineRule="auto" w:before="0"/>
        <w:ind w:left="604" w:right="1096" w:firstLine="0"/>
        <w:jc w:val="both"/>
        <w:rPr>
          <w:sz w:val="16"/>
        </w:rPr>
      </w:pPr>
      <w:r>
        <w:rPr>
          <w:color w:val="231F20"/>
          <w:sz w:val="16"/>
        </w:rPr>
        <w:t>to</w:t>
      </w:r>
      <w:r>
        <w:rPr>
          <w:color w:val="231F20"/>
          <w:spacing w:val="-7"/>
          <w:sz w:val="16"/>
        </w:rPr>
        <w:t> </w:t>
      </w:r>
      <w:r>
        <w:rPr>
          <w:color w:val="231F20"/>
          <w:sz w:val="16"/>
        </w:rPr>
        <w:t>exploration</w:t>
      </w:r>
      <w:r>
        <w:rPr>
          <w:color w:val="231F20"/>
          <w:spacing w:val="-7"/>
          <w:sz w:val="16"/>
        </w:rPr>
        <w:t> </w:t>
      </w:r>
      <w:r>
        <w:rPr>
          <w:color w:val="231F20"/>
          <w:sz w:val="16"/>
        </w:rPr>
        <w:t>for</w:t>
      </w:r>
      <w:r>
        <w:rPr>
          <w:color w:val="231F20"/>
          <w:spacing w:val="-7"/>
          <w:sz w:val="16"/>
        </w:rPr>
        <w:t> </w:t>
      </w:r>
      <w:r>
        <w:rPr>
          <w:color w:val="231F20"/>
          <w:sz w:val="16"/>
        </w:rPr>
        <w:t>deep</w:t>
      </w:r>
      <w:r>
        <w:rPr>
          <w:color w:val="231F20"/>
          <w:spacing w:val="-10"/>
          <w:sz w:val="16"/>
        </w:rPr>
        <w:t> </w:t>
      </w:r>
      <w:r>
        <w:rPr>
          <w:color w:val="231F20"/>
          <w:sz w:val="16"/>
        </w:rPr>
        <w:t>VMS</w:t>
      </w:r>
      <w:r>
        <w:rPr>
          <w:color w:val="231F20"/>
          <w:spacing w:val="-7"/>
          <w:sz w:val="16"/>
        </w:rPr>
        <w:t> </w:t>
      </w:r>
      <w:r>
        <w:rPr>
          <w:color w:val="231F20"/>
          <w:sz w:val="16"/>
        </w:rPr>
        <w:t>deposits</w:t>
      </w:r>
      <w:r>
        <w:rPr>
          <w:color w:val="231F20"/>
          <w:spacing w:val="-7"/>
          <w:sz w:val="16"/>
        </w:rPr>
        <w:t> </w:t>
      </w:r>
      <w:r>
        <w:rPr>
          <w:color w:val="231F20"/>
          <w:sz w:val="16"/>
        </w:rPr>
        <w:t>in</w:t>
      </w:r>
      <w:r>
        <w:rPr>
          <w:color w:val="231F20"/>
          <w:spacing w:val="-7"/>
          <w:sz w:val="16"/>
        </w:rPr>
        <w:t> </w:t>
      </w:r>
      <w:r>
        <w:rPr>
          <w:color w:val="231F20"/>
          <w:sz w:val="16"/>
        </w:rPr>
        <w:t>high</w:t>
      </w:r>
      <w:r>
        <w:rPr>
          <w:color w:val="231F20"/>
          <w:spacing w:val="-7"/>
          <w:sz w:val="16"/>
        </w:rPr>
        <w:t> </w:t>
      </w:r>
      <w:r>
        <w:rPr>
          <w:color w:val="231F20"/>
          <w:sz w:val="16"/>
        </w:rPr>
        <w:t>grade</w:t>
      </w:r>
      <w:r>
        <w:rPr>
          <w:color w:val="231F20"/>
          <w:spacing w:val="-7"/>
          <w:sz w:val="16"/>
        </w:rPr>
        <w:t> </w:t>
      </w:r>
      <w:r>
        <w:rPr>
          <w:color w:val="231F20"/>
          <w:sz w:val="16"/>
        </w:rPr>
        <w:t>metamorphic</w:t>
      </w:r>
      <w:r>
        <w:rPr>
          <w:color w:val="231F20"/>
          <w:spacing w:val="-7"/>
          <w:sz w:val="16"/>
        </w:rPr>
        <w:t> </w:t>
      </w:r>
      <w:r>
        <w:rPr>
          <w:color w:val="231F20"/>
          <w:sz w:val="16"/>
        </w:rPr>
        <w:t>rocks: Journal of Geochemical Exploration, </w:t>
      </w:r>
      <w:r>
        <w:rPr>
          <w:color w:val="231F20"/>
          <w:spacing w:val="-6"/>
          <w:sz w:val="16"/>
        </w:rPr>
        <w:t>v. </w:t>
      </w:r>
      <w:r>
        <w:rPr>
          <w:color w:val="231F20"/>
          <w:sz w:val="16"/>
        </w:rPr>
        <w:t>48, p.</w:t>
      </w:r>
      <w:r>
        <w:rPr>
          <w:color w:val="231F20"/>
          <w:spacing w:val="27"/>
          <w:sz w:val="16"/>
        </w:rPr>
        <w:t> </w:t>
      </w:r>
      <w:r>
        <w:rPr>
          <w:color w:val="231F20"/>
          <w:sz w:val="16"/>
        </w:rPr>
        <w:t>201-224.</w:t>
      </w:r>
    </w:p>
    <w:p>
      <w:pPr>
        <w:spacing w:line="230" w:lineRule="auto" w:before="22"/>
        <w:ind w:left="604" w:right="1097" w:hanging="288"/>
        <w:jc w:val="both"/>
        <w:rPr>
          <w:sz w:val="16"/>
        </w:rPr>
      </w:pPr>
      <w:r>
        <w:rPr>
          <w:color w:val="231F20"/>
          <w:sz w:val="16"/>
        </w:rPr>
        <w:t>Kalogeropoulos, S.I., and Scott, S.D., 1983, Mineralogy and geochemistry of tuffaceous exhalites (Tetsusekiei) of the Fukazawa mine, Hokuroko District, Japan: </w:t>
      </w:r>
      <w:r>
        <w:rPr>
          <w:i/>
          <w:color w:val="231F20"/>
          <w:sz w:val="16"/>
        </w:rPr>
        <w:t>in </w:t>
      </w:r>
      <w:r>
        <w:rPr>
          <w:color w:val="231F20"/>
          <w:sz w:val="16"/>
        </w:rPr>
        <w:t>Ohnoto, H., and Skinner, B.J., eds., The Kuroko and Related Volcanogenic Massive Sulfide Deposits: Economic Geology Monograph 5, p. 412-432.</w:t>
      </w:r>
    </w:p>
    <w:p>
      <w:pPr>
        <w:spacing w:line="230" w:lineRule="auto" w:before="26"/>
        <w:ind w:left="604" w:right="1097" w:hanging="288"/>
        <w:jc w:val="both"/>
        <w:rPr>
          <w:sz w:val="16"/>
        </w:rPr>
      </w:pPr>
      <w:r>
        <w:rPr>
          <w:color w:val="231F20"/>
          <w:sz w:val="16"/>
        </w:rPr>
        <w:t>Kalogeropoulos, S.I., and Scott, S.D., 1989, Mineralogy and geochemistry of an Archean tuffaceous exhalite: the Main Contact Tuff, Millenbach mine area, Noranda, Quebec:  Canadian  Journal  of  Earth  Sciences, </w:t>
      </w:r>
      <w:r>
        <w:rPr>
          <w:color w:val="231F20"/>
          <w:spacing w:val="-6"/>
          <w:sz w:val="16"/>
        </w:rPr>
        <w:t>v. </w:t>
      </w:r>
      <w:r>
        <w:rPr>
          <w:color w:val="231F20"/>
          <w:sz w:val="16"/>
        </w:rPr>
        <w:t>26, p.</w:t>
      </w:r>
      <w:r>
        <w:rPr>
          <w:color w:val="231F20"/>
          <w:spacing w:val="16"/>
          <w:sz w:val="16"/>
        </w:rPr>
        <w:t> </w:t>
      </w:r>
      <w:r>
        <w:rPr>
          <w:color w:val="231F20"/>
          <w:sz w:val="16"/>
        </w:rPr>
        <w:t>88-105.</w:t>
      </w:r>
    </w:p>
    <w:p>
      <w:pPr>
        <w:spacing w:line="230" w:lineRule="auto" w:before="26"/>
        <w:ind w:left="604" w:right="1097" w:hanging="288"/>
        <w:jc w:val="both"/>
        <w:rPr>
          <w:sz w:val="16"/>
        </w:rPr>
      </w:pPr>
      <w:r>
        <w:rPr>
          <w:color w:val="231F20"/>
          <w:sz w:val="16"/>
        </w:rPr>
        <w:t>Kerr, D.J., and Gibson, H.L., 1993, A comparison between the volcanology and geochemistry of volcanic successions hosting the Horne mine deposit and smaller intra-cauldron deposits of the mine sequence: Economic Geology, v. 88, p. 1419-1443.</w:t>
      </w:r>
    </w:p>
    <w:p>
      <w:pPr>
        <w:spacing w:line="230" w:lineRule="auto" w:before="26"/>
        <w:ind w:left="604" w:right="1096" w:hanging="288"/>
        <w:jc w:val="both"/>
        <w:rPr>
          <w:sz w:val="16"/>
        </w:rPr>
      </w:pPr>
      <w:r>
        <w:rPr>
          <w:color w:val="231F20"/>
          <w:sz w:val="16"/>
        </w:rPr>
        <w:t>Kerrich, R., Wyman, D., Fan, J., and Bleeker, W., 1998, Boninite series - low Ti-tholeiite associations from the 2.7 Ga Abitibi greenstone belt: Earth and Planetary Science Letters, v. 164, p. 303-316.</w:t>
      </w:r>
    </w:p>
    <w:p>
      <w:pPr>
        <w:spacing w:line="230" w:lineRule="auto" w:before="27"/>
        <w:ind w:left="604" w:right="1096" w:hanging="288"/>
        <w:jc w:val="both"/>
        <w:rPr>
          <w:sz w:val="16"/>
        </w:rPr>
      </w:pPr>
      <w:r>
        <w:rPr>
          <w:color w:val="231F20"/>
          <w:sz w:val="16"/>
        </w:rPr>
        <w:t>Lagerblad,</w:t>
      </w:r>
      <w:r>
        <w:rPr>
          <w:color w:val="231F20"/>
          <w:spacing w:val="-8"/>
          <w:sz w:val="16"/>
        </w:rPr>
        <w:t> </w:t>
      </w:r>
      <w:r>
        <w:rPr>
          <w:color w:val="231F20"/>
          <w:sz w:val="16"/>
        </w:rPr>
        <w:t>B.,</w:t>
      </w:r>
      <w:r>
        <w:rPr>
          <w:color w:val="231F20"/>
          <w:spacing w:val="-8"/>
          <w:sz w:val="16"/>
        </w:rPr>
        <w:t> </w:t>
      </w:r>
      <w:r>
        <w:rPr>
          <w:color w:val="231F20"/>
          <w:sz w:val="16"/>
        </w:rPr>
        <w:t>and</w:t>
      </w:r>
      <w:r>
        <w:rPr>
          <w:color w:val="231F20"/>
          <w:spacing w:val="-8"/>
          <w:sz w:val="16"/>
        </w:rPr>
        <w:t> </w:t>
      </w:r>
      <w:r>
        <w:rPr>
          <w:color w:val="231F20"/>
          <w:sz w:val="16"/>
        </w:rPr>
        <w:t>Gorbatschev,</w:t>
      </w:r>
      <w:r>
        <w:rPr>
          <w:color w:val="231F20"/>
          <w:spacing w:val="-8"/>
          <w:sz w:val="16"/>
        </w:rPr>
        <w:t> </w:t>
      </w:r>
      <w:r>
        <w:rPr>
          <w:color w:val="231F20"/>
          <w:sz w:val="16"/>
        </w:rPr>
        <w:t>R.,</w:t>
      </w:r>
      <w:r>
        <w:rPr>
          <w:color w:val="231F20"/>
          <w:spacing w:val="-8"/>
          <w:sz w:val="16"/>
        </w:rPr>
        <w:t> </w:t>
      </w:r>
      <w:r>
        <w:rPr>
          <w:color w:val="231F20"/>
          <w:sz w:val="16"/>
        </w:rPr>
        <w:t>1985,</w:t>
      </w:r>
      <w:r>
        <w:rPr>
          <w:color w:val="231F20"/>
          <w:spacing w:val="-8"/>
          <w:sz w:val="16"/>
        </w:rPr>
        <w:t> </w:t>
      </w:r>
      <w:r>
        <w:rPr>
          <w:color w:val="231F20"/>
          <w:sz w:val="16"/>
        </w:rPr>
        <w:t>Hydrothermal</w:t>
      </w:r>
      <w:r>
        <w:rPr>
          <w:color w:val="231F20"/>
          <w:spacing w:val="-8"/>
          <w:sz w:val="16"/>
        </w:rPr>
        <w:t> </w:t>
      </w:r>
      <w:r>
        <w:rPr>
          <w:color w:val="231F20"/>
          <w:sz w:val="16"/>
        </w:rPr>
        <w:t>alteration</w:t>
      </w:r>
      <w:r>
        <w:rPr>
          <w:color w:val="231F20"/>
          <w:spacing w:val="-8"/>
          <w:sz w:val="16"/>
        </w:rPr>
        <w:t> </w:t>
      </w:r>
      <w:r>
        <w:rPr>
          <w:color w:val="231F20"/>
          <w:sz w:val="16"/>
        </w:rPr>
        <w:t>as</w:t>
      </w:r>
      <w:r>
        <w:rPr>
          <w:color w:val="231F20"/>
          <w:spacing w:val="-8"/>
          <w:sz w:val="16"/>
        </w:rPr>
        <w:t> </w:t>
      </w:r>
      <w:r>
        <w:rPr>
          <w:color w:val="231F20"/>
          <w:sz w:val="16"/>
        </w:rPr>
        <w:t>a</w:t>
      </w:r>
      <w:r>
        <w:rPr>
          <w:color w:val="231F20"/>
          <w:spacing w:val="-8"/>
          <w:sz w:val="16"/>
        </w:rPr>
        <w:t> </w:t>
      </w:r>
      <w:r>
        <w:rPr>
          <w:color w:val="231F20"/>
          <w:sz w:val="16"/>
        </w:rPr>
        <w:t>con- trol of regional geochemistry and ore formation in the central Baltic Shield: Geologische Rundschau, </w:t>
      </w:r>
      <w:r>
        <w:rPr>
          <w:color w:val="231F20"/>
          <w:spacing w:val="-6"/>
          <w:sz w:val="16"/>
        </w:rPr>
        <w:t>v. </w:t>
      </w:r>
      <w:r>
        <w:rPr>
          <w:color w:val="231F20"/>
          <w:sz w:val="16"/>
        </w:rPr>
        <w:t>74, p.</w:t>
      </w:r>
      <w:r>
        <w:rPr>
          <w:color w:val="231F20"/>
          <w:spacing w:val="25"/>
          <w:sz w:val="16"/>
        </w:rPr>
        <w:t> </w:t>
      </w:r>
      <w:r>
        <w:rPr>
          <w:color w:val="231F20"/>
          <w:sz w:val="16"/>
        </w:rPr>
        <w:t>33-49.</w:t>
      </w:r>
    </w:p>
    <w:p>
      <w:pPr>
        <w:spacing w:line="247" w:lineRule="auto" w:before="21"/>
        <w:ind w:left="93" w:right="1098" w:firstLine="0"/>
        <w:jc w:val="right"/>
        <w:rPr>
          <w:sz w:val="16"/>
        </w:rPr>
      </w:pPr>
      <w:r>
        <w:rPr>
          <w:color w:val="231F20"/>
          <w:sz w:val="16"/>
        </w:rPr>
        <w:t>Large, R.R., 1992, Australian volcanic-hosted massive sulphide deposits: features, styles and genetic models: Economic Geology, v. 87, p. 471-510. Large, R.R., Doyle, M., Raymond, O., Cooke, D., Jones, A., and Heaman,</w:t>
      </w:r>
    </w:p>
    <w:p>
      <w:pPr>
        <w:spacing w:line="230" w:lineRule="auto" w:before="0"/>
        <w:ind w:left="604" w:right="1096" w:firstLine="0"/>
        <w:jc w:val="both"/>
        <w:rPr>
          <w:sz w:val="16"/>
        </w:rPr>
      </w:pPr>
      <w:r>
        <w:rPr>
          <w:color w:val="231F20"/>
          <w:sz w:val="16"/>
        </w:rPr>
        <w:t>L., 1996, Evaluation of the role of Cambrian granites in the genesis of world class VHMS deposits in Tasmania: Ore Geology Reviews, </w:t>
      </w:r>
      <w:r>
        <w:rPr>
          <w:color w:val="231F20"/>
          <w:spacing w:val="-6"/>
          <w:sz w:val="16"/>
        </w:rPr>
        <w:t>v. </w:t>
      </w:r>
      <w:r>
        <w:rPr>
          <w:color w:val="231F20"/>
          <w:sz w:val="16"/>
        </w:rPr>
        <w:t>10, p. 215-230.</w:t>
      </w:r>
    </w:p>
    <w:p>
      <w:pPr>
        <w:spacing w:line="230" w:lineRule="auto" w:before="21"/>
        <w:ind w:left="604" w:right="1097" w:hanging="288"/>
        <w:jc w:val="both"/>
        <w:rPr>
          <w:sz w:val="16"/>
        </w:rPr>
      </w:pPr>
      <w:r>
        <w:rPr>
          <w:color w:val="231F20"/>
          <w:sz w:val="16"/>
        </w:rPr>
        <w:t>Lentz,</w:t>
      </w:r>
      <w:r>
        <w:rPr>
          <w:color w:val="231F20"/>
          <w:spacing w:val="-7"/>
          <w:sz w:val="16"/>
        </w:rPr>
        <w:t> </w:t>
      </w:r>
      <w:r>
        <w:rPr>
          <w:color w:val="231F20"/>
          <w:sz w:val="16"/>
        </w:rPr>
        <w:t>D.R.,</w:t>
      </w:r>
      <w:r>
        <w:rPr>
          <w:color w:val="231F20"/>
          <w:spacing w:val="-7"/>
          <w:sz w:val="16"/>
        </w:rPr>
        <w:t> </w:t>
      </w:r>
      <w:r>
        <w:rPr>
          <w:color w:val="231F20"/>
          <w:sz w:val="16"/>
        </w:rPr>
        <w:t>1998,</w:t>
      </w:r>
      <w:r>
        <w:rPr>
          <w:color w:val="231F20"/>
          <w:spacing w:val="-7"/>
          <w:sz w:val="16"/>
        </w:rPr>
        <w:t> </w:t>
      </w:r>
      <w:r>
        <w:rPr>
          <w:color w:val="231F20"/>
          <w:sz w:val="16"/>
        </w:rPr>
        <w:t>Petrogenetic</w:t>
      </w:r>
      <w:r>
        <w:rPr>
          <w:color w:val="231F20"/>
          <w:spacing w:val="-7"/>
          <w:sz w:val="16"/>
        </w:rPr>
        <w:t> </w:t>
      </w:r>
      <w:r>
        <w:rPr>
          <w:color w:val="231F20"/>
          <w:sz w:val="16"/>
        </w:rPr>
        <w:t>evolution</w:t>
      </w:r>
      <w:r>
        <w:rPr>
          <w:color w:val="231F20"/>
          <w:spacing w:val="-7"/>
          <w:sz w:val="16"/>
        </w:rPr>
        <w:t> </w:t>
      </w:r>
      <w:r>
        <w:rPr>
          <w:color w:val="231F20"/>
          <w:sz w:val="16"/>
        </w:rPr>
        <w:t>of</w:t>
      </w:r>
      <w:r>
        <w:rPr>
          <w:color w:val="231F20"/>
          <w:spacing w:val="-7"/>
          <w:sz w:val="16"/>
        </w:rPr>
        <w:t> </w:t>
      </w:r>
      <w:r>
        <w:rPr>
          <w:color w:val="231F20"/>
          <w:sz w:val="16"/>
        </w:rPr>
        <w:t>felsic</w:t>
      </w:r>
      <w:r>
        <w:rPr>
          <w:color w:val="231F20"/>
          <w:spacing w:val="-7"/>
          <w:sz w:val="16"/>
        </w:rPr>
        <w:t> </w:t>
      </w:r>
      <w:r>
        <w:rPr>
          <w:color w:val="231F20"/>
          <w:sz w:val="16"/>
        </w:rPr>
        <w:t>volcanic</w:t>
      </w:r>
      <w:r>
        <w:rPr>
          <w:color w:val="231F20"/>
          <w:spacing w:val="-7"/>
          <w:sz w:val="16"/>
        </w:rPr>
        <w:t> </w:t>
      </w:r>
      <w:r>
        <w:rPr>
          <w:color w:val="231F20"/>
          <w:sz w:val="16"/>
        </w:rPr>
        <w:t>sequences</w:t>
      </w:r>
      <w:r>
        <w:rPr>
          <w:color w:val="231F20"/>
          <w:spacing w:val="-7"/>
          <w:sz w:val="16"/>
        </w:rPr>
        <w:t> </w:t>
      </w:r>
      <w:r>
        <w:rPr>
          <w:color w:val="231F20"/>
          <w:sz w:val="16"/>
        </w:rPr>
        <w:t>asso- ciated with Phanerozoic volcanic-hosted massive sulfide systems: the role of extensional geodynamics: Ore Geology Reviews, </w:t>
      </w:r>
      <w:r>
        <w:rPr>
          <w:color w:val="231F20"/>
          <w:spacing w:val="-6"/>
          <w:sz w:val="16"/>
        </w:rPr>
        <w:t>v. </w:t>
      </w:r>
      <w:r>
        <w:rPr>
          <w:color w:val="231F20"/>
          <w:sz w:val="16"/>
        </w:rPr>
        <w:t>12, p. 289- 327.</w:t>
      </w:r>
    </w:p>
    <w:p>
      <w:pPr>
        <w:spacing w:line="230" w:lineRule="auto" w:before="27"/>
        <w:ind w:left="604" w:right="1096" w:hanging="288"/>
        <w:jc w:val="both"/>
        <w:rPr>
          <w:sz w:val="16"/>
        </w:rPr>
      </w:pPr>
      <w:r>
        <w:rPr>
          <w:color w:val="231F20"/>
          <w:sz w:val="16"/>
        </w:rPr>
        <w:t>Liaghat, S., and MacLean, W.H., 1992, The Key Tuffite, Matagami mining district: Origin of the tuff components and mass changes: Exploration and Mining Geology, v. 1, p. 197-207.</w:t>
      </w:r>
    </w:p>
    <w:p>
      <w:pPr>
        <w:spacing w:line="230" w:lineRule="auto" w:before="27"/>
        <w:ind w:left="604" w:right="1097" w:hanging="288"/>
        <w:jc w:val="both"/>
        <w:rPr>
          <w:sz w:val="16"/>
        </w:rPr>
      </w:pPr>
      <w:r>
        <w:rPr>
          <w:color w:val="231F20"/>
          <w:sz w:val="16"/>
        </w:rPr>
        <w:t>Lydon, J.W., 1984. Some observations on the morphology and ore textures of volcanogenic sulfide deposits of Cyprus: Geological Survey of Canada, Current Research, Paper 84-01A, p. 601-610.</w:t>
      </w:r>
    </w:p>
    <w:p>
      <w:pPr>
        <w:spacing w:line="230" w:lineRule="auto" w:before="27"/>
        <w:ind w:left="604" w:right="1097" w:hanging="288"/>
        <w:jc w:val="both"/>
        <w:rPr>
          <w:sz w:val="16"/>
        </w:rPr>
      </w:pPr>
      <w:r>
        <w:rPr>
          <w:color w:val="231F20"/>
          <w:sz w:val="16"/>
        </w:rPr>
        <w:t>——— 1996, Characteristics of volcanogenic massive sulfide deposits: Interpretations in terms of hydrothermal convection systems and mag- matic hydrothermal systems: Instituto Tecnologico Geominero de Espana, Boletin geologico y minero, v. 107, p. 15-64.</w:t>
      </w:r>
    </w:p>
    <w:p>
      <w:pPr>
        <w:spacing w:line="230" w:lineRule="auto" w:before="26"/>
        <w:ind w:left="604" w:right="1097" w:hanging="288"/>
        <w:jc w:val="both"/>
        <w:rPr>
          <w:sz w:val="16"/>
        </w:rPr>
      </w:pPr>
      <w:r>
        <w:rPr>
          <w:color w:val="231F20"/>
          <w:sz w:val="16"/>
        </w:rPr>
        <w:t>Morton, J.L., and Franklin, J.M., 1987, </w:t>
      </w:r>
      <w:r>
        <w:rPr>
          <w:color w:val="231F20"/>
          <w:spacing w:val="-3"/>
          <w:sz w:val="16"/>
        </w:rPr>
        <w:t>Two-fold </w:t>
      </w:r>
      <w:r>
        <w:rPr>
          <w:color w:val="231F20"/>
          <w:sz w:val="16"/>
        </w:rPr>
        <w:t>classification of Archean volcanic-associated</w:t>
      </w:r>
      <w:r>
        <w:rPr>
          <w:color w:val="231F20"/>
          <w:spacing w:val="-6"/>
          <w:sz w:val="16"/>
        </w:rPr>
        <w:t> </w:t>
      </w:r>
      <w:r>
        <w:rPr>
          <w:color w:val="231F20"/>
          <w:sz w:val="16"/>
        </w:rPr>
        <w:t>massive</w:t>
      </w:r>
      <w:r>
        <w:rPr>
          <w:color w:val="231F20"/>
          <w:spacing w:val="-6"/>
          <w:sz w:val="16"/>
        </w:rPr>
        <w:t> </w:t>
      </w:r>
      <w:r>
        <w:rPr>
          <w:color w:val="231F20"/>
          <w:sz w:val="16"/>
        </w:rPr>
        <w:t>sulfide</w:t>
      </w:r>
      <w:r>
        <w:rPr>
          <w:color w:val="231F20"/>
          <w:spacing w:val="-6"/>
          <w:sz w:val="16"/>
        </w:rPr>
        <w:t> </w:t>
      </w:r>
      <w:r>
        <w:rPr>
          <w:color w:val="231F20"/>
          <w:sz w:val="16"/>
        </w:rPr>
        <w:t>deposits:</w:t>
      </w:r>
      <w:r>
        <w:rPr>
          <w:color w:val="231F20"/>
          <w:spacing w:val="-6"/>
          <w:sz w:val="16"/>
        </w:rPr>
        <w:t> </w:t>
      </w:r>
      <w:r>
        <w:rPr>
          <w:color w:val="231F20"/>
          <w:sz w:val="16"/>
        </w:rPr>
        <w:t>Economic</w:t>
      </w:r>
      <w:r>
        <w:rPr>
          <w:color w:val="231F20"/>
          <w:spacing w:val="-6"/>
          <w:sz w:val="16"/>
        </w:rPr>
        <w:t> </w:t>
      </w:r>
      <w:r>
        <w:rPr>
          <w:color w:val="231F20"/>
          <w:spacing w:val="-3"/>
          <w:sz w:val="16"/>
        </w:rPr>
        <w:t>Geology,</w:t>
      </w:r>
      <w:r>
        <w:rPr>
          <w:color w:val="231F20"/>
          <w:spacing w:val="-6"/>
          <w:sz w:val="16"/>
        </w:rPr>
        <w:t> v. </w:t>
      </w:r>
      <w:r>
        <w:rPr>
          <w:color w:val="231F20"/>
          <w:sz w:val="16"/>
        </w:rPr>
        <w:t>82, p.</w:t>
      </w:r>
      <w:r>
        <w:rPr>
          <w:color w:val="231F20"/>
          <w:spacing w:val="2"/>
          <w:sz w:val="16"/>
        </w:rPr>
        <w:t> </w:t>
      </w:r>
      <w:r>
        <w:rPr>
          <w:color w:val="231F20"/>
          <w:sz w:val="16"/>
        </w:rPr>
        <w:t>1057-1063.</w:t>
      </w:r>
    </w:p>
    <w:p>
      <w:pPr>
        <w:spacing w:line="230" w:lineRule="auto" w:before="27"/>
        <w:ind w:left="604" w:right="1096" w:hanging="288"/>
        <w:jc w:val="both"/>
        <w:rPr>
          <w:sz w:val="16"/>
        </w:rPr>
      </w:pPr>
      <w:r>
        <w:rPr>
          <w:color w:val="231F20"/>
          <w:sz w:val="16"/>
        </w:rPr>
        <w:t>Morton, R.L., Hudak, G.J., Walker, J.S., and Franklin, J.M., 1990, Physical volcanology and hydrothermal alteration of the Sturgeon Lake caldera</w:t>
      </w:r>
    </w:p>
    <w:p>
      <w:pPr>
        <w:spacing w:after="0" w:line="230" w:lineRule="auto"/>
        <w:jc w:val="both"/>
        <w:rPr>
          <w:sz w:val="16"/>
        </w:rPr>
        <w:sectPr>
          <w:pgSz w:w="12240" w:h="15840"/>
          <w:pgMar w:header="673" w:footer="779" w:top="1000" w:bottom="960" w:left="0" w:right="0"/>
          <w:cols w:num="2" w:equalWidth="0">
            <w:col w:w="5944" w:space="40"/>
            <w:col w:w="6256"/>
          </w:cols>
        </w:sectPr>
      </w:pPr>
    </w:p>
    <w:p>
      <w:pPr>
        <w:pStyle w:val="BodyText"/>
        <w:rPr>
          <w:sz w:val="18"/>
        </w:rPr>
      </w:pPr>
    </w:p>
    <w:p>
      <w:pPr>
        <w:spacing w:line="230" w:lineRule="auto" w:before="0"/>
        <w:ind w:left="1403" w:right="1" w:firstLine="0"/>
        <w:jc w:val="both"/>
        <w:rPr>
          <w:sz w:val="16"/>
        </w:rPr>
      </w:pPr>
      <w:r>
        <w:rPr>
          <w:color w:val="231F20"/>
          <w:sz w:val="16"/>
        </w:rPr>
        <w:t>complex, </w:t>
      </w:r>
      <w:r>
        <w:rPr>
          <w:i/>
          <w:color w:val="231F20"/>
          <w:sz w:val="16"/>
        </w:rPr>
        <w:t>in </w:t>
      </w:r>
      <w:r>
        <w:rPr>
          <w:color w:val="231F20"/>
          <w:sz w:val="16"/>
        </w:rPr>
        <w:t>J.M. Franklin, Schneiders, B.R., and Koopman, E.R., eds., Mineral</w:t>
      </w:r>
      <w:r>
        <w:rPr>
          <w:color w:val="231F20"/>
          <w:spacing w:val="-7"/>
          <w:sz w:val="16"/>
        </w:rPr>
        <w:t> </w:t>
      </w:r>
      <w:r>
        <w:rPr>
          <w:color w:val="231F20"/>
          <w:sz w:val="16"/>
        </w:rPr>
        <w:t>Deposits</w:t>
      </w:r>
      <w:r>
        <w:rPr>
          <w:color w:val="231F20"/>
          <w:spacing w:val="-7"/>
          <w:sz w:val="16"/>
        </w:rPr>
        <w:t> </w:t>
      </w:r>
      <w:r>
        <w:rPr>
          <w:color w:val="231F20"/>
          <w:sz w:val="16"/>
        </w:rPr>
        <w:t>in</w:t>
      </w:r>
      <w:r>
        <w:rPr>
          <w:color w:val="231F20"/>
          <w:spacing w:val="-6"/>
          <w:sz w:val="16"/>
        </w:rPr>
        <w:t> </w:t>
      </w:r>
      <w:r>
        <w:rPr>
          <w:color w:val="231F20"/>
          <w:sz w:val="16"/>
        </w:rPr>
        <w:t>the</w:t>
      </w:r>
      <w:r>
        <w:rPr>
          <w:color w:val="231F20"/>
          <w:spacing w:val="-9"/>
          <w:sz w:val="16"/>
        </w:rPr>
        <w:t> </w:t>
      </w:r>
      <w:r>
        <w:rPr>
          <w:color w:val="231F20"/>
          <w:sz w:val="16"/>
        </w:rPr>
        <w:t>Western</w:t>
      </w:r>
      <w:r>
        <w:rPr>
          <w:color w:val="231F20"/>
          <w:spacing w:val="-6"/>
          <w:sz w:val="16"/>
        </w:rPr>
        <w:t> </w:t>
      </w:r>
      <w:r>
        <w:rPr>
          <w:color w:val="231F20"/>
          <w:sz w:val="16"/>
        </w:rPr>
        <w:t>Superior</w:t>
      </w:r>
      <w:r>
        <w:rPr>
          <w:color w:val="231F20"/>
          <w:spacing w:val="-7"/>
          <w:sz w:val="16"/>
        </w:rPr>
        <w:t> </w:t>
      </w:r>
      <w:r>
        <w:rPr>
          <w:color w:val="231F20"/>
          <w:sz w:val="16"/>
        </w:rPr>
        <w:t>Province,</w:t>
      </w:r>
      <w:r>
        <w:rPr>
          <w:color w:val="231F20"/>
          <w:spacing w:val="-7"/>
          <w:sz w:val="16"/>
        </w:rPr>
        <w:t> </w:t>
      </w:r>
      <w:r>
        <w:rPr>
          <w:color w:val="231F20"/>
          <w:sz w:val="16"/>
        </w:rPr>
        <w:t>Ontario:</w:t>
      </w:r>
      <w:r>
        <w:rPr>
          <w:color w:val="231F20"/>
          <w:spacing w:val="-7"/>
          <w:sz w:val="16"/>
        </w:rPr>
        <w:t> </w:t>
      </w:r>
      <w:r>
        <w:rPr>
          <w:color w:val="231F20"/>
          <w:sz w:val="16"/>
        </w:rPr>
        <w:t>Open</w:t>
      </w:r>
      <w:r>
        <w:rPr>
          <w:color w:val="231F20"/>
          <w:spacing w:val="-7"/>
          <w:sz w:val="16"/>
        </w:rPr>
        <w:t> </w:t>
      </w:r>
      <w:r>
        <w:rPr>
          <w:color w:val="231F20"/>
          <w:sz w:val="16"/>
        </w:rPr>
        <w:t>File 2164, Geological Survey of Canada, p.</w:t>
      </w:r>
      <w:r>
        <w:rPr>
          <w:color w:val="231F20"/>
          <w:spacing w:val="18"/>
          <w:sz w:val="16"/>
        </w:rPr>
        <w:t> </w:t>
      </w:r>
      <w:r>
        <w:rPr>
          <w:color w:val="231F20"/>
          <w:sz w:val="16"/>
        </w:rPr>
        <w:t>74-94.</w:t>
      </w:r>
    </w:p>
    <w:p>
      <w:pPr>
        <w:spacing w:line="230" w:lineRule="auto" w:before="27"/>
        <w:ind w:left="1403" w:right="0" w:hanging="288"/>
        <w:jc w:val="both"/>
        <w:rPr>
          <w:sz w:val="16"/>
        </w:rPr>
      </w:pPr>
      <w:r>
        <w:rPr>
          <w:color w:val="231F20"/>
          <w:sz w:val="16"/>
        </w:rPr>
        <w:t>Munha, J., and Kerrich, R., 1980, Sea water-basalt interaction in spilites from the Iberian Pyrite Belt: Contributions to Mineralogy and Petrology, v. 73, p. 191-200.</w:t>
      </w:r>
    </w:p>
    <w:p>
      <w:pPr>
        <w:spacing w:line="230" w:lineRule="auto" w:before="27"/>
        <w:ind w:left="1403" w:right="0" w:hanging="288"/>
        <w:jc w:val="both"/>
        <w:rPr>
          <w:sz w:val="16"/>
        </w:rPr>
      </w:pPr>
      <w:r>
        <w:rPr>
          <w:color w:val="231F20"/>
          <w:sz w:val="16"/>
        </w:rPr>
        <w:t>Nelson, J., and Mihalynuk, M., 2004, Mega-terranes and deep structures: tectonics and the potential for major new mineral deposits in British Columbia:</w:t>
      </w:r>
      <w:r>
        <w:rPr>
          <w:color w:val="231F20"/>
          <w:spacing w:val="-17"/>
          <w:sz w:val="16"/>
        </w:rPr>
        <w:t> </w:t>
      </w:r>
      <w:r>
        <w:rPr>
          <w:color w:val="231F20"/>
          <w:sz w:val="16"/>
        </w:rPr>
        <w:t>Mineral</w:t>
      </w:r>
      <w:r>
        <w:rPr>
          <w:color w:val="231F20"/>
          <w:spacing w:val="-18"/>
          <w:sz w:val="16"/>
        </w:rPr>
        <w:t> </w:t>
      </w:r>
      <w:r>
        <w:rPr>
          <w:color w:val="231F20"/>
          <w:sz w:val="16"/>
        </w:rPr>
        <w:t>Exploration</w:t>
      </w:r>
      <w:r>
        <w:rPr>
          <w:color w:val="231F20"/>
          <w:spacing w:val="-17"/>
          <w:sz w:val="16"/>
        </w:rPr>
        <w:t> </w:t>
      </w:r>
      <w:r>
        <w:rPr>
          <w:color w:val="231F20"/>
          <w:sz w:val="16"/>
        </w:rPr>
        <w:t>Roundup,</w:t>
      </w:r>
      <w:r>
        <w:rPr>
          <w:color w:val="231F20"/>
          <w:spacing w:val="-17"/>
          <w:sz w:val="16"/>
        </w:rPr>
        <w:t> </w:t>
      </w:r>
      <w:r>
        <w:rPr>
          <w:color w:val="231F20"/>
          <w:sz w:val="16"/>
        </w:rPr>
        <w:t>Program</w:t>
      </w:r>
      <w:r>
        <w:rPr>
          <w:color w:val="231F20"/>
          <w:spacing w:val="-18"/>
          <w:sz w:val="16"/>
        </w:rPr>
        <w:t> </w:t>
      </w:r>
      <w:r>
        <w:rPr>
          <w:color w:val="231F20"/>
          <w:sz w:val="16"/>
        </w:rPr>
        <w:t>with</w:t>
      </w:r>
      <w:r>
        <w:rPr>
          <w:color w:val="231F20"/>
          <w:spacing w:val="-23"/>
          <w:sz w:val="16"/>
        </w:rPr>
        <w:t> </w:t>
      </w:r>
      <w:r>
        <w:rPr>
          <w:color w:val="231F20"/>
          <w:sz w:val="16"/>
        </w:rPr>
        <w:t>Abstracts,</w:t>
      </w:r>
      <w:r>
        <w:rPr>
          <w:color w:val="231F20"/>
          <w:spacing w:val="-18"/>
          <w:sz w:val="16"/>
        </w:rPr>
        <w:t> </w:t>
      </w:r>
      <w:r>
        <w:rPr>
          <w:color w:val="231F20"/>
          <w:sz w:val="16"/>
        </w:rPr>
        <w:t>p.</w:t>
      </w:r>
      <w:r>
        <w:rPr>
          <w:color w:val="231F20"/>
          <w:spacing w:val="-17"/>
          <w:sz w:val="16"/>
        </w:rPr>
        <w:t> </w:t>
      </w:r>
      <w:r>
        <w:rPr>
          <w:color w:val="231F20"/>
          <w:spacing w:val="-2"/>
          <w:sz w:val="16"/>
        </w:rPr>
        <w:t>26.</w:t>
      </w:r>
    </w:p>
    <w:p>
      <w:pPr>
        <w:spacing w:line="230" w:lineRule="auto" w:before="27"/>
        <w:ind w:left="1403" w:right="0" w:hanging="288"/>
        <w:jc w:val="both"/>
        <w:rPr>
          <w:sz w:val="16"/>
        </w:rPr>
      </w:pPr>
      <w:r>
        <w:rPr>
          <w:color w:val="231F20"/>
          <w:sz w:val="16"/>
        </w:rPr>
        <w:t>Paradis,</w:t>
      </w:r>
      <w:r>
        <w:rPr>
          <w:color w:val="231F20"/>
          <w:spacing w:val="-8"/>
          <w:sz w:val="16"/>
        </w:rPr>
        <w:t> </w:t>
      </w:r>
      <w:r>
        <w:rPr>
          <w:color w:val="231F20"/>
          <w:sz w:val="16"/>
        </w:rPr>
        <w:t>S.,</w:t>
      </w:r>
      <w:r>
        <w:rPr>
          <w:color w:val="231F20"/>
          <w:spacing w:val="-10"/>
          <w:sz w:val="16"/>
        </w:rPr>
        <w:t> </w:t>
      </w:r>
      <w:r>
        <w:rPr>
          <w:color w:val="231F20"/>
          <w:spacing w:val="-3"/>
          <w:sz w:val="16"/>
        </w:rPr>
        <w:t>Taylor,</w:t>
      </w:r>
      <w:r>
        <w:rPr>
          <w:color w:val="231F20"/>
          <w:spacing w:val="-7"/>
          <w:sz w:val="16"/>
        </w:rPr>
        <w:t> </w:t>
      </w:r>
      <w:r>
        <w:rPr>
          <w:color w:val="231F20"/>
          <w:sz w:val="16"/>
        </w:rPr>
        <w:t>B.E.,</w:t>
      </w:r>
      <w:r>
        <w:rPr>
          <w:color w:val="231F20"/>
          <w:spacing w:val="-10"/>
          <w:sz w:val="16"/>
        </w:rPr>
        <w:t> </w:t>
      </w:r>
      <w:r>
        <w:rPr>
          <w:color w:val="231F20"/>
          <w:sz w:val="16"/>
        </w:rPr>
        <w:t>Watkinson,</w:t>
      </w:r>
      <w:r>
        <w:rPr>
          <w:color w:val="231F20"/>
          <w:spacing w:val="-7"/>
          <w:sz w:val="16"/>
        </w:rPr>
        <w:t> </w:t>
      </w:r>
      <w:r>
        <w:rPr>
          <w:color w:val="231F20"/>
          <w:sz w:val="16"/>
        </w:rPr>
        <w:t>D.H.,</w:t>
      </w:r>
      <w:r>
        <w:rPr>
          <w:color w:val="231F20"/>
          <w:spacing w:val="-8"/>
          <w:sz w:val="16"/>
        </w:rPr>
        <w:t> </w:t>
      </w:r>
      <w:r>
        <w:rPr>
          <w:color w:val="231F20"/>
          <w:sz w:val="16"/>
        </w:rPr>
        <w:t>and</w:t>
      </w:r>
      <w:r>
        <w:rPr>
          <w:color w:val="231F20"/>
          <w:spacing w:val="-7"/>
          <w:sz w:val="16"/>
        </w:rPr>
        <w:t> </w:t>
      </w:r>
      <w:r>
        <w:rPr>
          <w:color w:val="231F20"/>
          <w:sz w:val="16"/>
        </w:rPr>
        <w:t>Jonasson,</w:t>
      </w:r>
      <w:r>
        <w:rPr>
          <w:color w:val="231F20"/>
          <w:spacing w:val="-8"/>
          <w:sz w:val="16"/>
        </w:rPr>
        <w:t> </w:t>
      </w:r>
      <w:r>
        <w:rPr>
          <w:color w:val="231F20"/>
          <w:sz w:val="16"/>
        </w:rPr>
        <w:t>I.J.,</w:t>
      </w:r>
      <w:r>
        <w:rPr>
          <w:color w:val="231F20"/>
          <w:spacing w:val="-7"/>
          <w:sz w:val="16"/>
        </w:rPr>
        <w:t> </w:t>
      </w:r>
      <w:r>
        <w:rPr>
          <w:color w:val="231F20"/>
          <w:sz w:val="16"/>
        </w:rPr>
        <w:t>1993,</w:t>
      </w:r>
      <w:r>
        <w:rPr>
          <w:color w:val="231F20"/>
          <w:spacing w:val="-7"/>
          <w:sz w:val="16"/>
        </w:rPr>
        <w:t> </w:t>
      </w:r>
      <w:r>
        <w:rPr>
          <w:color w:val="231F20"/>
          <w:sz w:val="16"/>
        </w:rPr>
        <w:t>Oxygen isotope zonation and alteration in the Noranda mining district, Abitibi greenstone belt, Quebec: Economic </w:t>
      </w:r>
      <w:r>
        <w:rPr>
          <w:color w:val="231F20"/>
          <w:spacing w:val="-3"/>
          <w:sz w:val="16"/>
        </w:rPr>
        <w:t>Geology, </w:t>
      </w:r>
      <w:r>
        <w:rPr>
          <w:color w:val="231F20"/>
          <w:spacing w:val="-6"/>
          <w:sz w:val="16"/>
        </w:rPr>
        <w:t>v. </w:t>
      </w:r>
      <w:r>
        <w:rPr>
          <w:color w:val="231F20"/>
          <w:sz w:val="16"/>
        </w:rPr>
        <w:t>88, p. 1512-1525.</w:t>
      </w:r>
    </w:p>
    <w:p>
      <w:pPr>
        <w:spacing w:line="230" w:lineRule="auto" w:before="26"/>
        <w:ind w:left="1403" w:right="0" w:hanging="288"/>
        <w:jc w:val="both"/>
        <w:rPr>
          <w:sz w:val="16"/>
        </w:rPr>
      </w:pPr>
      <w:r>
        <w:rPr>
          <w:color w:val="231F20"/>
          <w:sz w:val="16"/>
        </w:rPr>
        <w:t>Peter, J.M., 2003, Ancient iron-rich metalliferous sediments (iron forma- tions):</w:t>
      </w:r>
      <w:r>
        <w:rPr>
          <w:color w:val="231F20"/>
          <w:spacing w:val="-10"/>
          <w:sz w:val="16"/>
        </w:rPr>
        <w:t> </w:t>
      </w:r>
      <w:r>
        <w:rPr>
          <w:color w:val="231F20"/>
          <w:sz w:val="16"/>
        </w:rPr>
        <w:t>Their</w:t>
      </w:r>
      <w:r>
        <w:rPr>
          <w:color w:val="231F20"/>
          <w:spacing w:val="-7"/>
          <w:sz w:val="16"/>
        </w:rPr>
        <w:t> </w:t>
      </w:r>
      <w:r>
        <w:rPr>
          <w:color w:val="231F20"/>
          <w:sz w:val="16"/>
        </w:rPr>
        <w:t>genesis</w:t>
      </w:r>
      <w:r>
        <w:rPr>
          <w:color w:val="231F20"/>
          <w:spacing w:val="-7"/>
          <w:sz w:val="16"/>
        </w:rPr>
        <w:t> </w:t>
      </w:r>
      <w:r>
        <w:rPr>
          <w:color w:val="231F20"/>
          <w:sz w:val="16"/>
        </w:rPr>
        <w:t>and</w:t>
      </w:r>
      <w:r>
        <w:rPr>
          <w:color w:val="231F20"/>
          <w:spacing w:val="-7"/>
          <w:sz w:val="16"/>
        </w:rPr>
        <w:t> </w:t>
      </w:r>
      <w:r>
        <w:rPr>
          <w:color w:val="231F20"/>
          <w:sz w:val="16"/>
        </w:rPr>
        <w:t>use</w:t>
      </w:r>
      <w:r>
        <w:rPr>
          <w:color w:val="231F20"/>
          <w:spacing w:val="-7"/>
          <w:sz w:val="16"/>
        </w:rPr>
        <w:t> </w:t>
      </w:r>
      <w:r>
        <w:rPr>
          <w:color w:val="231F20"/>
          <w:sz w:val="16"/>
        </w:rPr>
        <w:t>in</w:t>
      </w:r>
      <w:r>
        <w:rPr>
          <w:color w:val="231F20"/>
          <w:spacing w:val="-7"/>
          <w:sz w:val="16"/>
        </w:rPr>
        <w:t> </w:t>
      </w:r>
      <w:r>
        <w:rPr>
          <w:color w:val="231F20"/>
          <w:sz w:val="16"/>
        </w:rPr>
        <w:t>the</w:t>
      </w:r>
      <w:r>
        <w:rPr>
          <w:color w:val="231F20"/>
          <w:spacing w:val="-7"/>
          <w:sz w:val="16"/>
        </w:rPr>
        <w:t> </w:t>
      </w:r>
      <w:r>
        <w:rPr>
          <w:color w:val="231F20"/>
          <w:sz w:val="16"/>
        </w:rPr>
        <w:t>exploration</w:t>
      </w:r>
      <w:r>
        <w:rPr>
          <w:color w:val="231F20"/>
          <w:spacing w:val="-7"/>
          <w:sz w:val="16"/>
        </w:rPr>
        <w:t> </w:t>
      </w:r>
      <w:r>
        <w:rPr>
          <w:color w:val="231F20"/>
          <w:sz w:val="16"/>
        </w:rPr>
        <w:t>for</w:t>
      </w:r>
      <w:r>
        <w:rPr>
          <w:color w:val="231F20"/>
          <w:spacing w:val="-7"/>
          <w:sz w:val="16"/>
        </w:rPr>
        <w:t> </w:t>
      </w:r>
      <w:r>
        <w:rPr>
          <w:color w:val="231F20"/>
          <w:sz w:val="16"/>
        </w:rPr>
        <w:t>stratiform</w:t>
      </w:r>
      <w:r>
        <w:rPr>
          <w:color w:val="231F20"/>
          <w:spacing w:val="-7"/>
          <w:sz w:val="16"/>
        </w:rPr>
        <w:t> </w:t>
      </w:r>
      <w:r>
        <w:rPr>
          <w:color w:val="231F20"/>
          <w:sz w:val="16"/>
        </w:rPr>
        <w:t>base</w:t>
      </w:r>
      <w:r>
        <w:rPr>
          <w:color w:val="231F20"/>
          <w:spacing w:val="-7"/>
          <w:sz w:val="16"/>
        </w:rPr>
        <w:t> </w:t>
      </w:r>
      <w:r>
        <w:rPr>
          <w:color w:val="231F20"/>
          <w:sz w:val="16"/>
        </w:rPr>
        <w:t>metal sulphide deposits, with examples from the Bathurst Mining Camp, </w:t>
      </w:r>
      <w:r>
        <w:rPr>
          <w:i/>
          <w:color w:val="231F20"/>
          <w:sz w:val="16"/>
        </w:rPr>
        <w:t>in </w:t>
      </w:r>
      <w:r>
        <w:rPr>
          <w:color w:val="231F20"/>
          <w:sz w:val="16"/>
        </w:rPr>
        <w:t>Lentz, D.R., ed., Geochemistry of Sediments and Sedimentary Rocks: Evolutionary</w:t>
      </w:r>
      <w:r>
        <w:rPr>
          <w:color w:val="231F20"/>
          <w:spacing w:val="-26"/>
          <w:sz w:val="16"/>
        </w:rPr>
        <w:t> </w:t>
      </w:r>
      <w:r>
        <w:rPr>
          <w:color w:val="231F20"/>
          <w:sz w:val="16"/>
        </w:rPr>
        <w:t>Considerations</w:t>
      </w:r>
      <w:r>
        <w:rPr>
          <w:color w:val="231F20"/>
          <w:spacing w:val="-26"/>
          <w:sz w:val="16"/>
        </w:rPr>
        <w:t> </w:t>
      </w:r>
      <w:r>
        <w:rPr>
          <w:color w:val="231F20"/>
          <w:sz w:val="16"/>
        </w:rPr>
        <w:t>to</w:t>
      </w:r>
      <w:r>
        <w:rPr>
          <w:color w:val="231F20"/>
          <w:spacing w:val="-26"/>
          <w:sz w:val="16"/>
        </w:rPr>
        <w:t> </w:t>
      </w:r>
      <w:r>
        <w:rPr>
          <w:color w:val="231F20"/>
          <w:sz w:val="16"/>
        </w:rPr>
        <w:t>Mineral</w:t>
      </w:r>
      <w:r>
        <w:rPr>
          <w:color w:val="231F20"/>
          <w:spacing w:val="-26"/>
          <w:sz w:val="16"/>
        </w:rPr>
        <w:t> </w:t>
      </w:r>
      <w:r>
        <w:rPr>
          <w:color w:val="231F20"/>
          <w:sz w:val="16"/>
        </w:rPr>
        <w:t>Deposit-Forming</w:t>
      </w:r>
      <w:r>
        <w:rPr>
          <w:color w:val="231F20"/>
          <w:spacing w:val="-26"/>
          <w:sz w:val="16"/>
        </w:rPr>
        <w:t> </w:t>
      </w:r>
      <w:r>
        <w:rPr>
          <w:color w:val="231F20"/>
          <w:sz w:val="16"/>
        </w:rPr>
        <w:t>Environments, GEOtext 4: Geological Association of Canada, p.</w:t>
      </w:r>
      <w:r>
        <w:rPr>
          <w:color w:val="231F20"/>
          <w:spacing w:val="-23"/>
          <w:sz w:val="16"/>
        </w:rPr>
        <w:t> </w:t>
      </w:r>
      <w:r>
        <w:rPr>
          <w:color w:val="231F20"/>
          <w:sz w:val="16"/>
        </w:rPr>
        <w:t>145-173.</w:t>
      </w:r>
    </w:p>
    <w:p>
      <w:pPr>
        <w:spacing w:line="230" w:lineRule="auto" w:before="26"/>
        <w:ind w:left="1403" w:right="0" w:hanging="288"/>
        <w:jc w:val="both"/>
        <w:rPr>
          <w:sz w:val="16"/>
        </w:rPr>
      </w:pPr>
      <w:r>
        <w:rPr>
          <w:color w:val="231F20"/>
          <w:sz w:val="16"/>
        </w:rPr>
        <w:t>Peter, J.M., and Goodfellow, W.D., 1996, Mineralogy, bulk and rare earth element geochemistry of massive sulfide-associated hydrothermal sed- iments of the Brunswick Horizon, Bathurst Mining Camp, New Brunswick: Canadian Journal of Earth Sciences, v. 33, p. 252-283.</w:t>
      </w:r>
    </w:p>
    <w:p>
      <w:pPr>
        <w:spacing w:line="230" w:lineRule="auto" w:before="26"/>
        <w:ind w:left="1403" w:right="0" w:hanging="288"/>
        <w:jc w:val="both"/>
        <w:rPr>
          <w:sz w:val="16"/>
        </w:rPr>
      </w:pPr>
      <w:r>
        <w:rPr>
          <w:color w:val="231F20"/>
          <w:sz w:val="16"/>
        </w:rPr>
        <w:t>Peter, J.M., and Scott, S.D., 1999, Windy Craggy, northwestern British Columbia: The world’s largest Besshi-type deposit, </w:t>
      </w:r>
      <w:r>
        <w:rPr>
          <w:i/>
          <w:color w:val="231F20"/>
          <w:sz w:val="16"/>
        </w:rPr>
        <w:t>in </w:t>
      </w:r>
      <w:r>
        <w:rPr>
          <w:color w:val="231F20"/>
          <w:sz w:val="16"/>
        </w:rPr>
        <w:t>Barrie, </w:t>
      </w:r>
      <w:r>
        <w:rPr>
          <w:color w:val="231F20"/>
          <w:spacing w:val="-3"/>
          <w:sz w:val="16"/>
        </w:rPr>
        <w:t>C.T.,</w:t>
      </w:r>
      <w:r>
        <w:rPr>
          <w:color w:val="231F20"/>
          <w:spacing w:val="-17"/>
          <w:sz w:val="16"/>
        </w:rPr>
        <w:t> </w:t>
      </w:r>
      <w:r>
        <w:rPr>
          <w:color w:val="231F20"/>
          <w:sz w:val="16"/>
        </w:rPr>
        <w:t>and Hannington, M.D., eds., Volcanic-Associated Massive Sulfide Deposits: Processes and Examples in Modern and Ancient Settings: Reviews in Economic </w:t>
      </w:r>
      <w:r>
        <w:rPr>
          <w:color w:val="231F20"/>
          <w:spacing w:val="-3"/>
          <w:sz w:val="16"/>
        </w:rPr>
        <w:t>Geology, </w:t>
      </w:r>
      <w:r>
        <w:rPr>
          <w:color w:val="231F20"/>
          <w:spacing w:val="-6"/>
          <w:sz w:val="16"/>
        </w:rPr>
        <w:t>v. </w:t>
      </w:r>
      <w:r>
        <w:rPr>
          <w:color w:val="231F20"/>
          <w:sz w:val="16"/>
        </w:rPr>
        <w:t>8, p.</w:t>
      </w:r>
      <w:r>
        <w:rPr>
          <w:color w:val="231F20"/>
          <w:spacing w:val="37"/>
          <w:sz w:val="16"/>
        </w:rPr>
        <w:t> </w:t>
      </w:r>
      <w:r>
        <w:rPr>
          <w:color w:val="231F20"/>
          <w:sz w:val="16"/>
        </w:rPr>
        <w:t>261-295.</w:t>
      </w:r>
    </w:p>
    <w:p>
      <w:pPr>
        <w:spacing w:line="230" w:lineRule="auto" w:before="25"/>
        <w:ind w:left="1403" w:right="1" w:hanging="288"/>
        <w:jc w:val="both"/>
        <w:rPr>
          <w:sz w:val="16"/>
        </w:rPr>
      </w:pPr>
      <w:r>
        <w:rPr>
          <w:color w:val="231F20"/>
          <w:sz w:val="16"/>
        </w:rPr>
        <w:t>Petersen,</w:t>
      </w:r>
      <w:r>
        <w:rPr>
          <w:color w:val="231F20"/>
          <w:spacing w:val="-7"/>
          <w:sz w:val="16"/>
        </w:rPr>
        <w:t> </w:t>
      </w:r>
      <w:r>
        <w:rPr>
          <w:color w:val="231F20"/>
          <w:sz w:val="16"/>
        </w:rPr>
        <w:t>S.,</w:t>
      </w:r>
      <w:r>
        <w:rPr>
          <w:color w:val="231F20"/>
          <w:spacing w:val="-7"/>
          <w:sz w:val="16"/>
        </w:rPr>
        <w:t> </w:t>
      </w:r>
      <w:r>
        <w:rPr>
          <w:color w:val="231F20"/>
          <w:sz w:val="16"/>
        </w:rPr>
        <w:t>Herzig,</w:t>
      </w:r>
      <w:r>
        <w:rPr>
          <w:color w:val="231F20"/>
          <w:spacing w:val="-7"/>
          <w:sz w:val="16"/>
        </w:rPr>
        <w:t> </w:t>
      </w:r>
      <w:r>
        <w:rPr>
          <w:color w:val="231F20"/>
          <w:spacing w:val="-4"/>
          <w:sz w:val="16"/>
        </w:rPr>
        <w:t>P.M.,</w:t>
      </w:r>
      <w:r>
        <w:rPr>
          <w:color w:val="231F20"/>
          <w:spacing w:val="-7"/>
          <w:sz w:val="16"/>
        </w:rPr>
        <w:t> </w:t>
      </w:r>
      <w:r>
        <w:rPr>
          <w:color w:val="231F20"/>
          <w:sz w:val="16"/>
        </w:rPr>
        <w:t>and</w:t>
      </w:r>
      <w:r>
        <w:rPr>
          <w:color w:val="231F20"/>
          <w:spacing w:val="-7"/>
          <w:sz w:val="16"/>
        </w:rPr>
        <w:t> </w:t>
      </w:r>
      <w:r>
        <w:rPr>
          <w:color w:val="231F20"/>
          <w:sz w:val="16"/>
        </w:rPr>
        <w:t>Hannington,</w:t>
      </w:r>
      <w:r>
        <w:rPr>
          <w:color w:val="231F20"/>
          <w:spacing w:val="-7"/>
          <w:sz w:val="16"/>
        </w:rPr>
        <w:t> </w:t>
      </w:r>
      <w:r>
        <w:rPr>
          <w:color w:val="231F20"/>
          <w:sz w:val="16"/>
        </w:rPr>
        <w:t>M.D.,</w:t>
      </w:r>
      <w:r>
        <w:rPr>
          <w:color w:val="231F20"/>
          <w:spacing w:val="-7"/>
          <w:sz w:val="16"/>
        </w:rPr>
        <w:t> </w:t>
      </w:r>
      <w:r>
        <w:rPr>
          <w:color w:val="231F20"/>
          <w:sz w:val="16"/>
        </w:rPr>
        <w:t>2000,</w:t>
      </w:r>
      <w:r>
        <w:rPr>
          <w:color w:val="231F20"/>
          <w:spacing w:val="-10"/>
          <w:sz w:val="16"/>
        </w:rPr>
        <w:t> </w:t>
      </w:r>
      <w:r>
        <w:rPr>
          <w:color w:val="231F20"/>
          <w:sz w:val="16"/>
        </w:rPr>
        <w:t>Third</w:t>
      </w:r>
      <w:r>
        <w:rPr>
          <w:color w:val="231F20"/>
          <w:spacing w:val="-7"/>
          <w:sz w:val="16"/>
        </w:rPr>
        <w:t> </w:t>
      </w:r>
      <w:r>
        <w:rPr>
          <w:color w:val="231F20"/>
          <w:sz w:val="16"/>
        </w:rPr>
        <w:t>dimension</w:t>
      </w:r>
      <w:r>
        <w:rPr>
          <w:color w:val="231F20"/>
          <w:spacing w:val="-7"/>
          <w:sz w:val="16"/>
        </w:rPr>
        <w:t> </w:t>
      </w:r>
      <w:r>
        <w:rPr>
          <w:color w:val="231F20"/>
          <w:sz w:val="16"/>
        </w:rPr>
        <w:t>of a presently forming VMS deposit: </w:t>
      </w:r>
      <w:r>
        <w:rPr>
          <w:color w:val="231F20"/>
          <w:spacing w:val="-5"/>
          <w:sz w:val="16"/>
        </w:rPr>
        <w:t>TAG </w:t>
      </w:r>
      <w:r>
        <w:rPr>
          <w:color w:val="231F20"/>
          <w:sz w:val="16"/>
        </w:rPr>
        <w:t>Hydrothermal Mound, Mid- Atlantic Ridge, 26°N: Mineralium Deposita, </w:t>
      </w:r>
      <w:r>
        <w:rPr>
          <w:color w:val="231F20"/>
          <w:spacing w:val="-6"/>
          <w:sz w:val="16"/>
        </w:rPr>
        <w:t>v. </w:t>
      </w:r>
      <w:r>
        <w:rPr>
          <w:color w:val="231F20"/>
          <w:sz w:val="16"/>
        </w:rPr>
        <w:t>35, p.</w:t>
      </w:r>
      <w:r>
        <w:rPr>
          <w:color w:val="231F20"/>
          <w:spacing w:val="25"/>
          <w:sz w:val="16"/>
        </w:rPr>
        <w:t> </w:t>
      </w:r>
      <w:r>
        <w:rPr>
          <w:color w:val="231F20"/>
          <w:sz w:val="16"/>
        </w:rPr>
        <w:t>233-259.</w:t>
      </w:r>
    </w:p>
    <w:p>
      <w:pPr>
        <w:spacing w:line="230" w:lineRule="auto" w:before="27"/>
        <w:ind w:left="1403" w:right="0" w:hanging="288"/>
        <w:jc w:val="both"/>
        <w:rPr>
          <w:sz w:val="16"/>
        </w:rPr>
      </w:pPr>
      <w:r>
        <w:rPr>
          <w:color w:val="231F20"/>
          <w:sz w:val="16"/>
        </w:rPr>
        <w:t>Petersen, S., Schwarz-Schampera, U., Herzig, P., Hannington, M., and Jonasson, I., 2004, Hydrothermal precipitates associated with bimodal volcanism in the Central Bransfield Strait, Antarctica: Mineralium Deposita, v. 39, p. 358-379.</w:t>
      </w:r>
    </w:p>
    <w:p>
      <w:pPr>
        <w:spacing w:line="230" w:lineRule="auto" w:before="27"/>
        <w:ind w:left="1403" w:right="1" w:hanging="288"/>
        <w:jc w:val="both"/>
        <w:rPr>
          <w:sz w:val="16"/>
        </w:rPr>
      </w:pPr>
      <w:r>
        <w:rPr>
          <w:color w:val="231F20"/>
          <w:sz w:val="16"/>
        </w:rPr>
        <w:t>Piercey, S.J., Murphy, D.C., Mortensen, J.K., and Paradis, S., 2001, Boninitic magmatism in a continental margin setting, Yukon-Tanana terrane, southeastern Yukon, Canada: Geology, v. 29, p. 731-734.</w:t>
      </w:r>
    </w:p>
    <w:p>
      <w:pPr>
        <w:spacing w:line="230" w:lineRule="auto" w:before="27"/>
        <w:ind w:left="1403" w:right="1" w:hanging="288"/>
        <w:jc w:val="both"/>
        <w:rPr>
          <w:sz w:val="16"/>
        </w:rPr>
      </w:pPr>
      <w:r>
        <w:rPr>
          <w:color w:val="231F20"/>
          <w:sz w:val="16"/>
        </w:rPr>
        <w:t>Poulsen, H., and Hannington, M., 1995, Auriferous Volcanogenic Sulfide Deposits, </w:t>
      </w:r>
      <w:r>
        <w:rPr>
          <w:i/>
          <w:color w:val="231F20"/>
          <w:sz w:val="16"/>
        </w:rPr>
        <w:t>in </w:t>
      </w:r>
      <w:r>
        <w:rPr>
          <w:color w:val="231F20"/>
          <w:sz w:val="16"/>
        </w:rPr>
        <w:t>Eckstrand, O.R., Sinclair, </w:t>
      </w:r>
      <w:r>
        <w:rPr>
          <w:color w:val="231F20"/>
          <w:spacing w:val="-3"/>
          <w:sz w:val="16"/>
        </w:rPr>
        <w:t>W.D., </w:t>
      </w:r>
      <w:r>
        <w:rPr>
          <w:color w:val="231F20"/>
          <w:sz w:val="16"/>
        </w:rPr>
        <w:t>and Thorpe, R.I., eds. Geology of Canadian Mineral Deposit Types, Geology of Canada, no. 8,</w:t>
      </w:r>
      <w:r>
        <w:rPr>
          <w:color w:val="231F20"/>
          <w:spacing w:val="-8"/>
          <w:sz w:val="16"/>
        </w:rPr>
        <w:t> </w:t>
      </w:r>
      <w:r>
        <w:rPr>
          <w:color w:val="231F20"/>
          <w:sz w:val="16"/>
        </w:rPr>
        <w:t>Decade</w:t>
      </w:r>
      <w:r>
        <w:rPr>
          <w:color w:val="231F20"/>
          <w:spacing w:val="-8"/>
          <w:sz w:val="16"/>
        </w:rPr>
        <w:t> </w:t>
      </w:r>
      <w:r>
        <w:rPr>
          <w:color w:val="231F20"/>
          <w:sz w:val="16"/>
        </w:rPr>
        <w:t>of</w:t>
      </w:r>
      <w:r>
        <w:rPr>
          <w:color w:val="231F20"/>
          <w:spacing w:val="-8"/>
          <w:sz w:val="16"/>
        </w:rPr>
        <w:t> </w:t>
      </w:r>
      <w:r>
        <w:rPr>
          <w:color w:val="231F20"/>
          <w:sz w:val="16"/>
        </w:rPr>
        <w:t>North</w:t>
      </w:r>
      <w:r>
        <w:rPr>
          <w:color w:val="231F20"/>
          <w:spacing w:val="-16"/>
          <w:sz w:val="16"/>
        </w:rPr>
        <w:t> </w:t>
      </w:r>
      <w:r>
        <w:rPr>
          <w:color w:val="231F20"/>
          <w:sz w:val="16"/>
        </w:rPr>
        <w:t>American</w:t>
      </w:r>
      <w:r>
        <w:rPr>
          <w:color w:val="231F20"/>
          <w:spacing w:val="-8"/>
          <w:sz w:val="16"/>
        </w:rPr>
        <w:t> </w:t>
      </w:r>
      <w:r>
        <w:rPr>
          <w:color w:val="231F20"/>
          <w:sz w:val="16"/>
        </w:rPr>
        <w:t>Geology</w:t>
      </w:r>
      <w:r>
        <w:rPr>
          <w:color w:val="231F20"/>
          <w:spacing w:val="-8"/>
          <w:sz w:val="16"/>
        </w:rPr>
        <w:t> </w:t>
      </w:r>
      <w:r>
        <w:rPr>
          <w:color w:val="231F20"/>
          <w:sz w:val="16"/>
        </w:rPr>
        <w:t>(DNAG):</w:t>
      </w:r>
      <w:r>
        <w:rPr>
          <w:color w:val="231F20"/>
          <w:spacing w:val="-8"/>
          <w:sz w:val="16"/>
        </w:rPr>
        <w:t> </w:t>
      </w:r>
      <w:r>
        <w:rPr>
          <w:color w:val="231F20"/>
          <w:sz w:val="16"/>
        </w:rPr>
        <w:t>Geological</w:t>
      </w:r>
      <w:r>
        <w:rPr>
          <w:color w:val="231F20"/>
          <w:spacing w:val="-8"/>
          <w:sz w:val="16"/>
        </w:rPr>
        <w:t> </w:t>
      </w:r>
      <w:r>
        <w:rPr>
          <w:color w:val="231F20"/>
          <w:sz w:val="16"/>
        </w:rPr>
        <w:t>Society</w:t>
      </w:r>
      <w:r>
        <w:rPr>
          <w:color w:val="231F20"/>
          <w:spacing w:val="-8"/>
          <w:sz w:val="16"/>
        </w:rPr>
        <w:t> </w:t>
      </w:r>
      <w:r>
        <w:rPr>
          <w:color w:val="231F20"/>
          <w:sz w:val="16"/>
        </w:rPr>
        <w:t>of America, Part 1. p.</w:t>
      </w:r>
      <w:r>
        <w:rPr>
          <w:color w:val="231F20"/>
          <w:spacing w:val="12"/>
          <w:sz w:val="16"/>
        </w:rPr>
        <w:t> </w:t>
      </w:r>
      <w:r>
        <w:rPr>
          <w:color w:val="231F20"/>
          <w:sz w:val="16"/>
        </w:rPr>
        <w:t>183-196.</w:t>
      </w:r>
    </w:p>
    <w:p>
      <w:pPr>
        <w:spacing w:line="230" w:lineRule="auto" w:before="25"/>
        <w:ind w:left="1403" w:right="1" w:hanging="288"/>
        <w:jc w:val="both"/>
        <w:rPr>
          <w:sz w:val="16"/>
        </w:rPr>
      </w:pPr>
      <w:r>
        <w:rPr>
          <w:color w:val="231F20"/>
          <w:sz w:val="16"/>
        </w:rPr>
        <w:t>Powell,</w:t>
      </w:r>
      <w:r>
        <w:rPr>
          <w:color w:val="231F20"/>
          <w:spacing w:val="-9"/>
          <w:sz w:val="16"/>
        </w:rPr>
        <w:t> </w:t>
      </w:r>
      <w:r>
        <w:rPr>
          <w:color w:val="231F20"/>
          <w:spacing w:val="-7"/>
          <w:sz w:val="16"/>
        </w:rPr>
        <w:t>W.G.,</w:t>
      </w:r>
      <w:r>
        <w:rPr>
          <w:color w:val="231F20"/>
          <w:spacing w:val="-6"/>
          <w:sz w:val="16"/>
        </w:rPr>
        <w:t> </w:t>
      </w:r>
      <w:r>
        <w:rPr>
          <w:color w:val="231F20"/>
          <w:sz w:val="16"/>
        </w:rPr>
        <w:t>Carmichael,</w:t>
      </w:r>
      <w:r>
        <w:rPr>
          <w:color w:val="231F20"/>
          <w:spacing w:val="-6"/>
          <w:sz w:val="16"/>
        </w:rPr>
        <w:t> </w:t>
      </w:r>
      <w:r>
        <w:rPr>
          <w:color w:val="231F20"/>
          <w:sz w:val="16"/>
        </w:rPr>
        <w:t>D.M.,</w:t>
      </w:r>
      <w:r>
        <w:rPr>
          <w:color w:val="231F20"/>
          <w:spacing w:val="-6"/>
          <w:sz w:val="16"/>
        </w:rPr>
        <w:t> </w:t>
      </w:r>
      <w:r>
        <w:rPr>
          <w:color w:val="231F20"/>
          <w:sz w:val="16"/>
        </w:rPr>
        <w:t>and</w:t>
      </w:r>
      <w:r>
        <w:rPr>
          <w:color w:val="231F20"/>
          <w:spacing w:val="-6"/>
          <w:sz w:val="16"/>
        </w:rPr>
        <w:t> </w:t>
      </w:r>
      <w:r>
        <w:rPr>
          <w:color w:val="231F20"/>
          <w:sz w:val="16"/>
        </w:rPr>
        <w:t>Hodgeson,</w:t>
      </w:r>
      <w:r>
        <w:rPr>
          <w:color w:val="231F20"/>
          <w:spacing w:val="-6"/>
          <w:sz w:val="16"/>
        </w:rPr>
        <w:t> </w:t>
      </w:r>
      <w:r>
        <w:rPr>
          <w:color w:val="231F20"/>
          <w:sz w:val="16"/>
        </w:rPr>
        <w:t>C.J.,</w:t>
      </w:r>
      <w:r>
        <w:rPr>
          <w:color w:val="231F20"/>
          <w:spacing w:val="-6"/>
          <w:sz w:val="16"/>
        </w:rPr>
        <w:t> </w:t>
      </w:r>
      <w:r>
        <w:rPr>
          <w:color w:val="231F20"/>
          <w:sz w:val="16"/>
        </w:rPr>
        <w:t>1993,</w:t>
      </w:r>
      <w:r>
        <w:rPr>
          <w:color w:val="231F20"/>
          <w:spacing w:val="-6"/>
          <w:sz w:val="16"/>
        </w:rPr>
        <w:t> </w:t>
      </w:r>
      <w:r>
        <w:rPr>
          <w:color w:val="231F20"/>
          <w:sz w:val="16"/>
        </w:rPr>
        <w:t>Relative</w:t>
      </w:r>
      <w:r>
        <w:rPr>
          <w:color w:val="231F20"/>
          <w:spacing w:val="-6"/>
          <w:sz w:val="16"/>
        </w:rPr>
        <w:t> </w:t>
      </w:r>
      <w:r>
        <w:rPr>
          <w:color w:val="231F20"/>
          <w:sz w:val="16"/>
        </w:rPr>
        <w:t>timing of metamorphism and tectonism during the evolution of the southern Abitibi</w:t>
      </w:r>
      <w:r>
        <w:rPr>
          <w:color w:val="231F20"/>
          <w:spacing w:val="-9"/>
          <w:sz w:val="16"/>
        </w:rPr>
        <w:t> </w:t>
      </w:r>
      <w:r>
        <w:rPr>
          <w:color w:val="231F20"/>
          <w:sz w:val="16"/>
        </w:rPr>
        <w:t>greenstone</w:t>
      </w:r>
      <w:r>
        <w:rPr>
          <w:color w:val="231F20"/>
          <w:spacing w:val="-9"/>
          <w:sz w:val="16"/>
        </w:rPr>
        <w:t> </w:t>
      </w:r>
      <w:r>
        <w:rPr>
          <w:color w:val="231F20"/>
          <w:sz w:val="16"/>
        </w:rPr>
        <w:t>belt.</w:t>
      </w:r>
      <w:r>
        <w:rPr>
          <w:color w:val="231F20"/>
          <w:spacing w:val="-9"/>
          <w:sz w:val="16"/>
        </w:rPr>
        <w:t> </w:t>
      </w:r>
      <w:r>
        <w:rPr>
          <w:i/>
          <w:color w:val="231F20"/>
          <w:sz w:val="16"/>
        </w:rPr>
        <w:t>in</w:t>
      </w:r>
      <w:r>
        <w:rPr>
          <w:i/>
          <w:color w:val="231F20"/>
          <w:spacing w:val="-9"/>
          <w:sz w:val="16"/>
        </w:rPr>
        <w:t> </w:t>
      </w:r>
      <w:r>
        <w:rPr>
          <w:color w:val="231F20"/>
          <w:spacing w:val="-3"/>
          <w:sz w:val="16"/>
        </w:rPr>
        <w:t>Caty,</w:t>
      </w:r>
      <w:r>
        <w:rPr>
          <w:color w:val="231F20"/>
          <w:spacing w:val="-9"/>
          <w:sz w:val="16"/>
        </w:rPr>
        <w:t> </w:t>
      </w:r>
      <w:r>
        <w:rPr>
          <w:color w:val="231F20"/>
          <w:sz w:val="16"/>
        </w:rPr>
        <w:t>J.L.,</w:t>
      </w:r>
      <w:r>
        <w:rPr>
          <w:color w:val="231F20"/>
          <w:spacing w:val="-9"/>
          <w:sz w:val="16"/>
        </w:rPr>
        <w:t> </w:t>
      </w:r>
      <w:r>
        <w:rPr>
          <w:color w:val="231F20"/>
          <w:sz w:val="16"/>
        </w:rPr>
        <w:t>ed.,</w:t>
      </w:r>
      <w:r>
        <w:rPr>
          <w:color w:val="231F20"/>
          <w:spacing w:val="-9"/>
          <w:sz w:val="16"/>
        </w:rPr>
        <w:t> </w:t>
      </w:r>
      <w:r>
        <w:rPr>
          <w:color w:val="231F20"/>
          <w:sz w:val="16"/>
        </w:rPr>
        <w:t>L’Exceptionnel</w:t>
      </w:r>
      <w:r>
        <w:rPr>
          <w:color w:val="231F20"/>
          <w:spacing w:val="-9"/>
          <w:sz w:val="16"/>
        </w:rPr>
        <w:t> </w:t>
      </w:r>
      <w:r>
        <w:rPr>
          <w:color w:val="231F20"/>
          <w:sz w:val="16"/>
        </w:rPr>
        <w:t>potentiel</w:t>
      </w:r>
      <w:r>
        <w:rPr>
          <w:color w:val="231F20"/>
          <w:spacing w:val="-9"/>
          <w:sz w:val="16"/>
        </w:rPr>
        <w:t> </w:t>
      </w:r>
      <w:r>
        <w:rPr>
          <w:color w:val="231F20"/>
          <w:sz w:val="16"/>
        </w:rPr>
        <w:t>min- eral du Quebec, une realite a decouvrir; resume des conferences; semi- naire</w:t>
      </w:r>
      <w:r>
        <w:rPr>
          <w:color w:val="231F20"/>
          <w:spacing w:val="-8"/>
          <w:sz w:val="16"/>
        </w:rPr>
        <w:t> </w:t>
      </w:r>
      <w:r>
        <w:rPr>
          <w:color w:val="231F20"/>
          <w:sz w:val="16"/>
        </w:rPr>
        <w:t>d’information</w:t>
      </w:r>
      <w:r>
        <w:rPr>
          <w:color w:val="231F20"/>
          <w:spacing w:val="-8"/>
          <w:sz w:val="16"/>
        </w:rPr>
        <w:t> </w:t>
      </w:r>
      <w:r>
        <w:rPr>
          <w:color w:val="231F20"/>
          <w:sz w:val="16"/>
        </w:rPr>
        <w:t>1993</w:t>
      </w:r>
      <w:r>
        <w:rPr>
          <w:color w:val="231F20"/>
          <w:spacing w:val="-8"/>
          <w:sz w:val="16"/>
        </w:rPr>
        <w:t> </w:t>
      </w:r>
      <w:r>
        <w:rPr>
          <w:color w:val="231F20"/>
          <w:sz w:val="16"/>
        </w:rPr>
        <w:t>(The</w:t>
      </w:r>
      <w:r>
        <w:rPr>
          <w:color w:val="231F20"/>
          <w:spacing w:val="-8"/>
          <w:sz w:val="16"/>
        </w:rPr>
        <w:t> </w:t>
      </w:r>
      <w:r>
        <w:rPr>
          <w:color w:val="231F20"/>
          <w:sz w:val="16"/>
        </w:rPr>
        <w:t>exceptional</w:t>
      </w:r>
      <w:r>
        <w:rPr>
          <w:color w:val="231F20"/>
          <w:spacing w:val="-8"/>
          <w:sz w:val="16"/>
        </w:rPr>
        <w:t> </w:t>
      </w:r>
      <w:r>
        <w:rPr>
          <w:color w:val="231F20"/>
          <w:sz w:val="16"/>
        </w:rPr>
        <w:t>mineral</w:t>
      </w:r>
      <w:r>
        <w:rPr>
          <w:color w:val="231F20"/>
          <w:spacing w:val="-8"/>
          <w:sz w:val="16"/>
        </w:rPr>
        <w:t> </w:t>
      </w:r>
      <w:r>
        <w:rPr>
          <w:color w:val="231F20"/>
          <w:sz w:val="16"/>
        </w:rPr>
        <w:t>potential</w:t>
      </w:r>
      <w:r>
        <w:rPr>
          <w:color w:val="231F20"/>
          <w:spacing w:val="-8"/>
          <w:sz w:val="16"/>
        </w:rPr>
        <w:t> </w:t>
      </w:r>
      <w:r>
        <w:rPr>
          <w:color w:val="231F20"/>
          <w:sz w:val="16"/>
        </w:rPr>
        <w:t>of</w:t>
      </w:r>
      <w:r>
        <w:rPr>
          <w:color w:val="231F20"/>
          <w:spacing w:val="-8"/>
          <w:sz w:val="16"/>
        </w:rPr>
        <w:t> </w:t>
      </w:r>
      <w:r>
        <w:rPr>
          <w:color w:val="231F20"/>
          <w:sz w:val="16"/>
        </w:rPr>
        <w:t>Quebec, a reality yet to be discovered; information seminar 1993) Conference Abstracts. DV – Direction generale de l’Exploration Geologique et Minerale. p.</w:t>
      </w:r>
      <w:r>
        <w:rPr>
          <w:color w:val="231F20"/>
          <w:spacing w:val="5"/>
          <w:sz w:val="16"/>
        </w:rPr>
        <w:t> </w:t>
      </w:r>
      <w:r>
        <w:rPr>
          <w:color w:val="231F20"/>
          <w:sz w:val="16"/>
        </w:rPr>
        <w:t>49-50.</w:t>
      </w:r>
    </w:p>
    <w:p>
      <w:pPr>
        <w:spacing w:line="230" w:lineRule="auto" w:before="24"/>
        <w:ind w:left="1403" w:right="1" w:hanging="288"/>
        <w:jc w:val="both"/>
        <w:rPr>
          <w:sz w:val="16"/>
        </w:rPr>
      </w:pPr>
      <w:r>
        <w:rPr>
          <w:color w:val="231F20"/>
          <w:sz w:val="16"/>
        </w:rPr>
        <w:t>Richards, J.P., 2003, Tectono-magmatic precursors for porphyry Cu-(Mo- Au) deposit formation: Economic Geology, v. 98, p. 1515-1534.</w:t>
      </w:r>
    </w:p>
    <w:p>
      <w:pPr>
        <w:spacing w:line="230" w:lineRule="auto" w:before="28"/>
        <w:ind w:left="1403" w:right="1" w:hanging="288"/>
        <w:jc w:val="both"/>
        <w:rPr>
          <w:sz w:val="16"/>
        </w:rPr>
      </w:pPr>
      <w:r>
        <w:rPr>
          <w:color w:val="231F20"/>
          <w:sz w:val="16"/>
        </w:rPr>
        <w:t>Sangster, D., 1980, Quantitative characteristics of volcanogenic massive sulphide deposits I. Metal content and size distribution of massive sul- phide deposits in volcanic centers: Canadian Institute of Mining and Metallurgy Bulletin, v. 73, p. 74-81.</w:t>
      </w:r>
    </w:p>
    <w:p>
      <w:pPr>
        <w:spacing w:line="230" w:lineRule="auto" w:before="26"/>
        <w:ind w:left="1403" w:right="1" w:hanging="288"/>
        <w:jc w:val="both"/>
        <w:rPr>
          <w:sz w:val="16"/>
        </w:rPr>
      </w:pPr>
      <w:r>
        <w:rPr>
          <w:color w:val="231F20"/>
          <w:sz w:val="16"/>
        </w:rPr>
        <w:t>Santaguida, F., Gibson, H.L., Watkinson, D.H., and Hannington, M.D., 1998, Semi-conformable epidote-quartz hydrothermal alteration in the Central Noranda Volcanic Complex: Relationship to volcanic activity and VMS mineralization: Canadian Minerals Research Organization Project 94E07, Annual Report, The Use of Regional-Scale Alteration and Subvolcanic Intrusions in the Exploration for Volcanic-Associated Massive Sulphide Deposits, p. 139-180.</w:t>
      </w:r>
    </w:p>
    <w:p>
      <w:pPr>
        <w:spacing w:line="230" w:lineRule="auto" w:before="24"/>
        <w:ind w:left="1403" w:right="0" w:hanging="288"/>
        <w:jc w:val="both"/>
        <w:rPr>
          <w:sz w:val="16"/>
        </w:rPr>
      </w:pPr>
      <w:r>
        <w:rPr>
          <w:color w:val="231F20"/>
          <w:sz w:val="16"/>
        </w:rPr>
        <w:t>Sebert, C., and Barrett, T.J., 1996, Stratigraphy, alteration, and mineraliza- tion at the Tulsequah chief massive sulfide deposit, northwestern British Columbia; Exploration and Mining Geology 5, 4, p. 281-308.</w:t>
      </w:r>
    </w:p>
    <w:p>
      <w:pPr>
        <w:spacing w:line="230" w:lineRule="auto" w:before="27"/>
        <w:ind w:left="1403" w:right="1" w:hanging="288"/>
        <w:jc w:val="both"/>
        <w:rPr>
          <w:sz w:val="16"/>
        </w:rPr>
      </w:pPr>
      <w:r>
        <w:rPr>
          <w:color w:val="231F20"/>
          <w:sz w:val="16"/>
        </w:rPr>
        <w:t>Sharpe, R., and Gemmell, J.B., 2002, The Archean Cu-Zn magnetite-rich Gossan Hill volcanic-hosted massive sulfide deposit, Western Australia; genesis of a multistage hydrothermal system: Economic Geology, v. 97, p. 517-539.</w:t>
      </w:r>
    </w:p>
    <w:p>
      <w:pPr>
        <w:spacing w:line="230" w:lineRule="auto" w:before="27"/>
        <w:ind w:left="1403" w:right="0" w:hanging="288"/>
        <w:jc w:val="both"/>
        <w:rPr>
          <w:sz w:val="16"/>
        </w:rPr>
      </w:pPr>
      <w:r>
        <w:rPr>
          <w:color w:val="231F20"/>
          <w:sz w:val="16"/>
        </w:rPr>
        <w:t>Sherlock, R.L., Roth, T., Spooner, E.T.C., and Bray, C.J., 1999, The origin of the Eskay Creek precious metal-rich volcanogenic massive sulfide</w:t>
      </w:r>
    </w:p>
    <w:p>
      <w:pPr>
        <w:pStyle w:val="BodyText"/>
        <w:rPr>
          <w:sz w:val="18"/>
        </w:rPr>
      </w:pPr>
      <w:r>
        <w:rPr/>
        <w:br w:type="column"/>
      </w:r>
      <w:r>
        <w:rPr>
          <w:sz w:val="18"/>
        </w:rPr>
      </w:r>
    </w:p>
    <w:p>
      <w:pPr>
        <w:spacing w:line="230" w:lineRule="auto" w:before="0"/>
        <w:ind w:left="606" w:right="1219" w:firstLine="0"/>
        <w:jc w:val="left"/>
        <w:rPr>
          <w:sz w:val="16"/>
        </w:rPr>
      </w:pPr>
      <w:r>
        <w:rPr>
          <w:color w:val="231F20"/>
          <w:sz w:val="16"/>
        </w:rPr>
        <w:t>deposit: fluid inclusion and stable isotope data: Economic </w:t>
      </w:r>
      <w:r>
        <w:rPr>
          <w:color w:val="231F20"/>
          <w:spacing w:val="-3"/>
          <w:sz w:val="16"/>
        </w:rPr>
        <w:t>Geology,    </w:t>
      </w:r>
      <w:r>
        <w:rPr>
          <w:color w:val="231F20"/>
          <w:spacing w:val="-6"/>
          <w:sz w:val="16"/>
        </w:rPr>
        <w:t>v. </w:t>
      </w:r>
      <w:r>
        <w:rPr>
          <w:color w:val="231F20"/>
          <w:sz w:val="16"/>
        </w:rPr>
        <w:t>94, p.</w:t>
      </w:r>
      <w:r>
        <w:rPr>
          <w:color w:val="231F20"/>
          <w:spacing w:val="16"/>
          <w:sz w:val="16"/>
        </w:rPr>
        <w:t> </w:t>
      </w:r>
      <w:r>
        <w:rPr>
          <w:color w:val="231F20"/>
          <w:sz w:val="16"/>
        </w:rPr>
        <w:t>803-824.</w:t>
      </w:r>
    </w:p>
    <w:p>
      <w:pPr>
        <w:spacing w:line="230" w:lineRule="auto" w:before="27"/>
        <w:ind w:left="606" w:right="1082" w:hanging="288"/>
        <w:jc w:val="both"/>
        <w:rPr>
          <w:sz w:val="16"/>
        </w:rPr>
      </w:pPr>
      <w:r>
        <w:rPr>
          <w:color w:val="231F20"/>
          <w:sz w:val="16"/>
        </w:rPr>
        <w:t>Sillitoe, R.H., Hannington, M.D., and Thompson, J.F.H., 1996, High sulfi- dation deposits in the volcanogenic massive sulfide environment: Economic Geology, v. 91, p. 204-212.</w:t>
      </w:r>
    </w:p>
    <w:p>
      <w:pPr>
        <w:spacing w:line="230" w:lineRule="auto" w:before="27"/>
        <w:ind w:left="606" w:right="1081" w:hanging="288"/>
        <w:jc w:val="both"/>
        <w:rPr>
          <w:sz w:val="16"/>
        </w:rPr>
      </w:pPr>
      <w:r>
        <w:rPr>
          <w:color w:val="231F20"/>
          <w:sz w:val="16"/>
        </w:rPr>
        <w:t>Sinclair, </w:t>
      </w:r>
      <w:r>
        <w:rPr>
          <w:color w:val="231F20"/>
          <w:spacing w:val="-3"/>
          <w:sz w:val="16"/>
        </w:rPr>
        <w:t>W.D., </w:t>
      </w:r>
      <w:r>
        <w:rPr>
          <w:color w:val="231F20"/>
          <w:sz w:val="16"/>
        </w:rPr>
        <w:t>Chorlton, L.B., Laramée, R.M., and Eckstrand, O.R., 1999, </w:t>
      </w:r>
      <w:r>
        <w:rPr>
          <w:color w:val="231F20"/>
          <w:spacing w:val="-3"/>
          <w:sz w:val="16"/>
        </w:rPr>
        <w:t>World</w:t>
      </w:r>
      <w:r>
        <w:rPr>
          <w:color w:val="231F20"/>
          <w:spacing w:val="-8"/>
          <w:sz w:val="16"/>
        </w:rPr>
        <w:t> </w:t>
      </w:r>
      <w:r>
        <w:rPr>
          <w:color w:val="231F20"/>
          <w:sz w:val="16"/>
        </w:rPr>
        <w:t>Minerals</w:t>
      </w:r>
      <w:r>
        <w:rPr>
          <w:color w:val="231F20"/>
          <w:spacing w:val="-8"/>
          <w:sz w:val="16"/>
        </w:rPr>
        <w:t> </w:t>
      </w:r>
      <w:r>
        <w:rPr>
          <w:color w:val="231F20"/>
          <w:sz w:val="16"/>
        </w:rPr>
        <w:t>Geoscience</w:t>
      </w:r>
      <w:r>
        <w:rPr>
          <w:color w:val="231F20"/>
          <w:spacing w:val="-8"/>
          <w:sz w:val="16"/>
        </w:rPr>
        <w:t> </w:t>
      </w:r>
      <w:r>
        <w:rPr>
          <w:color w:val="231F20"/>
          <w:sz w:val="16"/>
        </w:rPr>
        <w:t>Database</w:t>
      </w:r>
      <w:r>
        <w:rPr>
          <w:color w:val="231F20"/>
          <w:spacing w:val="-8"/>
          <w:sz w:val="16"/>
        </w:rPr>
        <w:t> </w:t>
      </w:r>
      <w:r>
        <w:rPr>
          <w:color w:val="231F20"/>
          <w:sz w:val="16"/>
        </w:rPr>
        <w:t>Project:</w:t>
      </w:r>
      <w:r>
        <w:rPr>
          <w:color w:val="231F20"/>
          <w:spacing w:val="-8"/>
          <w:sz w:val="16"/>
        </w:rPr>
        <w:t> </w:t>
      </w:r>
      <w:r>
        <w:rPr>
          <w:color w:val="231F20"/>
          <w:sz w:val="16"/>
        </w:rPr>
        <w:t>Digital</w:t>
      </w:r>
      <w:r>
        <w:rPr>
          <w:color w:val="231F20"/>
          <w:spacing w:val="-8"/>
          <w:sz w:val="16"/>
        </w:rPr>
        <w:t> </w:t>
      </w:r>
      <w:r>
        <w:rPr>
          <w:color w:val="231F20"/>
          <w:sz w:val="16"/>
        </w:rPr>
        <w:t>databases</w:t>
      </w:r>
      <w:r>
        <w:rPr>
          <w:color w:val="231F20"/>
          <w:spacing w:val="-8"/>
          <w:sz w:val="16"/>
        </w:rPr>
        <w:t> </w:t>
      </w:r>
      <w:r>
        <w:rPr>
          <w:color w:val="231F20"/>
          <w:sz w:val="16"/>
        </w:rPr>
        <w:t>of</w:t>
      </w:r>
      <w:r>
        <w:rPr>
          <w:color w:val="231F20"/>
          <w:spacing w:val="-8"/>
          <w:sz w:val="16"/>
        </w:rPr>
        <w:t> </w:t>
      </w:r>
      <w:r>
        <w:rPr>
          <w:color w:val="231F20"/>
          <w:sz w:val="16"/>
        </w:rPr>
        <w:t>gen- eralized world geology and mineral deposits for mineral exploration and research;</w:t>
      </w:r>
      <w:r>
        <w:rPr>
          <w:color w:val="231F20"/>
          <w:spacing w:val="5"/>
          <w:sz w:val="16"/>
        </w:rPr>
        <w:t> </w:t>
      </w:r>
      <w:hyperlink r:id="rId240">
        <w:r>
          <w:rPr>
            <w:color w:val="231F20"/>
            <w:sz w:val="16"/>
          </w:rPr>
          <w:t>http://gdr.nrcan.gc.ca/minres/index_e.php.</w:t>
        </w:r>
      </w:hyperlink>
    </w:p>
    <w:p>
      <w:pPr>
        <w:spacing w:line="230" w:lineRule="auto" w:before="27"/>
        <w:ind w:left="606" w:right="1082" w:hanging="288"/>
        <w:jc w:val="both"/>
        <w:rPr>
          <w:sz w:val="16"/>
        </w:rPr>
      </w:pPr>
      <w:r>
        <w:rPr>
          <w:color w:val="231F20"/>
          <w:sz w:val="16"/>
        </w:rPr>
        <w:t>Singer, D.A., 1995, World-class base and precious metal deposits - a quan- titative analysis: Economic Geology, v. 90, p. 88-104.</w:t>
      </w:r>
    </w:p>
    <w:p>
      <w:pPr>
        <w:spacing w:line="230" w:lineRule="auto" w:before="27"/>
        <w:ind w:left="606" w:right="1082" w:hanging="288"/>
        <w:jc w:val="both"/>
        <w:rPr>
          <w:sz w:val="16"/>
        </w:rPr>
      </w:pPr>
      <w:r>
        <w:rPr>
          <w:color w:val="231F20"/>
          <w:sz w:val="16"/>
        </w:rPr>
        <w:t>Spooner, E.T.C., and Fyfe, </w:t>
      </w:r>
      <w:r>
        <w:rPr>
          <w:color w:val="231F20"/>
          <w:spacing w:val="-3"/>
          <w:sz w:val="16"/>
        </w:rPr>
        <w:t>W.S., </w:t>
      </w:r>
      <w:r>
        <w:rPr>
          <w:color w:val="231F20"/>
          <w:sz w:val="16"/>
        </w:rPr>
        <w:t>1973, Subseafloor metamorphism, heat and mass transfer: Contributions to Mineralogy and Petrology, </w:t>
      </w:r>
      <w:r>
        <w:rPr>
          <w:color w:val="231F20"/>
          <w:spacing w:val="-6"/>
          <w:sz w:val="16"/>
        </w:rPr>
        <w:t>v. </w:t>
      </w:r>
      <w:r>
        <w:rPr>
          <w:color w:val="231F20"/>
          <w:sz w:val="16"/>
        </w:rPr>
        <w:t>42,  p.</w:t>
      </w:r>
      <w:r>
        <w:rPr>
          <w:color w:val="231F20"/>
          <w:spacing w:val="2"/>
          <w:sz w:val="16"/>
        </w:rPr>
        <w:t> </w:t>
      </w:r>
      <w:r>
        <w:rPr>
          <w:color w:val="231F20"/>
          <w:sz w:val="16"/>
        </w:rPr>
        <w:t>287-304.</w:t>
      </w:r>
    </w:p>
    <w:p>
      <w:pPr>
        <w:spacing w:line="230" w:lineRule="auto" w:before="27"/>
        <w:ind w:left="606" w:right="1083" w:hanging="288"/>
        <w:jc w:val="both"/>
        <w:rPr>
          <w:sz w:val="16"/>
        </w:rPr>
      </w:pPr>
      <w:r>
        <w:rPr>
          <w:color w:val="231F20"/>
          <w:sz w:val="16"/>
        </w:rPr>
        <w:t>Spry, P.G., Peter, J.M., and Slack, J.F., 2000, Meta-exhalites as exploration guides to ore, </w:t>
      </w:r>
      <w:r>
        <w:rPr>
          <w:i/>
          <w:color w:val="231F20"/>
          <w:sz w:val="16"/>
        </w:rPr>
        <w:t>in </w:t>
      </w:r>
      <w:r>
        <w:rPr>
          <w:color w:val="231F20"/>
          <w:sz w:val="16"/>
        </w:rPr>
        <w:t>Spry, P.G., Marshall, B., and Vokes, F.M., eds., Metamorphosed and Metamorphogenic Ore Deposits: Reviews in Economic Geology, v. 11, p. 163-201.</w:t>
      </w:r>
    </w:p>
    <w:p>
      <w:pPr>
        <w:spacing w:line="230" w:lineRule="auto" w:before="26"/>
        <w:ind w:left="606" w:right="1079" w:hanging="288"/>
        <w:jc w:val="both"/>
        <w:rPr>
          <w:sz w:val="16"/>
        </w:rPr>
      </w:pPr>
      <w:r>
        <w:rPr>
          <w:color w:val="231F20"/>
          <w:sz w:val="16"/>
        </w:rPr>
        <w:t>Stern, R.A., Syme, E.C., Bailes, A.H., and Lucas, S.B., 1995, Paleoproterozoic (1.90-1.86 Ga) arc volcanism in the Flin Flon Belt, Trans-Hudson Orogen, Canada: Contributions to Mineralogy and Petrology, v. 119, p. 117-141.</w:t>
      </w:r>
    </w:p>
    <w:p>
      <w:pPr>
        <w:spacing w:line="230" w:lineRule="auto" w:before="27"/>
        <w:ind w:left="606" w:right="1082" w:hanging="288"/>
        <w:jc w:val="both"/>
        <w:rPr>
          <w:sz w:val="16"/>
        </w:rPr>
      </w:pPr>
      <w:r>
        <w:rPr>
          <w:color w:val="231F20"/>
          <w:sz w:val="16"/>
        </w:rPr>
        <w:t>Stinton, J.M., and Detrick, R.S., 1992, Mid-ocean ridge magma chambers: Journal of Geophysical Research, v. 97, p. 197-216.</w:t>
      </w:r>
    </w:p>
    <w:p>
      <w:pPr>
        <w:spacing w:line="230" w:lineRule="auto" w:before="27"/>
        <w:ind w:left="606" w:right="1081" w:hanging="288"/>
        <w:jc w:val="both"/>
        <w:rPr>
          <w:sz w:val="16"/>
        </w:rPr>
      </w:pPr>
      <w:r>
        <w:rPr>
          <w:color w:val="231F20"/>
          <w:sz w:val="16"/>
        </w:rPr>
        <w:t>Swinden, H.S., Kean, B.F., and Dunning, G.R., 1988, Geological and pale- otectonic settings of volcanogenic massive sulfide mineralization in Central Newfoundland, </w:t>
      </w:r>
      <w:r>
        <w:rPr>
          <w:i/>
          <w:color w:val="231F20"/>
          <w:sz w:val="16"/>
        </w:rPr>
        <w:t>in </w:t>
      </w:r>
      <w:r>
        <w:rPr>
          <w:color w:val="231F20"/>
          <w:sz w:val="16"/>
        </w:rPr>
        <w:t>Swinden, H.S., and Kean, B.F., eds., The Volcanogenic Sulphide Districts of Newfoundland: A Guidebook and Reference Manual for Volcanogenic Sulphide Deposits in the Early Paleozoic Oceanic Volcanic Terranes of Central Newfoundland: Geological Association of Canada, Mineral Deposits Division, p. 2-27.</w:t>
      </w:r>
    </w:p>
    <w:p>
      <w:pPr>
        <w:spacing w:line="230" w:lineRule="auto" w:before="25"/>
        <w:ind w:left="606" w:right="1082" w:hanging="288"/>
        <w:jc w:val="both"/>
        <w:rPr>
          <w:sz w:val="16"/>
        </w:rPr>
      </w:pPr>
      <w:r>
        <w:rPr>
          <w:color w:val="231F20"/>
          <w:sz w:val="16"/>
        </w:rPr>
        <w:t>Syme, E.C., and Bailes, A.H., 1993, Stratigraphy and tectonic setting of Early Proterozoic volcanogenic massive sulphide deposits, Flin Flon, Manitoba: Economic Geology, v. 88, p. 566-589.</w:t>
      </w:r>
    </w:p>
    <w:p>
      <w:pPr>
        <w:spacing w:line="230" w:lineRule="auto" w:before="27"/>
        <w:ind w:left="606" w:right="1081" w:hanging="288"/>
        <w:jc w:val="both"/>
        <w:rPr>
          <w:sz w:val="16"/>
        </w:rPr>
      </w:pPr>
      <w:r>
        <w:rPr>
          <w:color w:val="231F20"/>
          <w:sz w:val="16"/>
        </w:rPr>
        <w:t>Taylor, B.E., and South B.C., 1985, Regional stable isotope systematics of hydrothermal alteration and massive sulfide deposition in the West Shasta District, California: Economic Geology, v. 80, p. 2149-2163.</w:t>
      </w:r>
    </w:p>
    <w:p>
      <w:pPr>
        <w:spacing w:line="230" w:lineRule="auto" w:before="26"/>
        <w:ind w:left="606" w:right="1082" w:hanging="288"/>
        <w:jc w:val="both"/>
        <w:rPr>
          <w:sz w:val="16"/>
        </w:rPr>
      </w:pPr>
      <w:r>
        <w:rPr>
          <w:color w:val="231F20"/>
          <w:sz w:val="16"/>
        </w:rPr>
        <w:t>Thompson, A. J., Hauff, B., and Robitaille, P.L., 1999, Alteration mapping in exploration: Application of short-wave infrared (SWIR) spec- troscopy: Society of Economic Geology Newsletter, v. 39.</w:t>
      </w:r>
    </w:p>
    <w:p>
      <w:pPr>
        <w:spacing w:line="230" w:lineRule="auto" w:before="27"/>
        <w:ind w:left="606" w:right="1081" w:hanging="288"/>
        <w:jc w:val="both"/>
        <w:rPr>
          <w:sz w:val="16"/>
        </w:rPr>
      </w:pPr>
      <w:r>
        <w:rPr>
          <w:color w:val="231F20"/>
          <w:sz w:val="16"/>
        </w:rPr>
        <w:t>van Staal, C.R., Wilson, R.A., Rogers, N., Fyffe, L.R., Langton, </w:t>
      </w:r>
      <w:r>
        <w:rPr>
          <w:color w:val="231F20"/>
          <w:spacing w:val="-4"/>
          <w:sz w:val="16"/>
        </w:rPr>
        <w:t>J.P., </w:t>
      </w:r>
      <w:r>
        <w:rPr>
          <w:color w:val="231F20"/>
          <w:sz w:val="16"/>
        </w:rPr>
        <w:t>McCutcheon,</w:t>
      </w:r>
      <w:r>
        <w:rPr>
          <w:color w:val="231F20"/>
          <w:spacing w:val="-6"/>
          <w:sz w:val="16"/>
        </w:rPr>
        <w:t> </w:t>
      </w:r>
      <w:r>
        <w:rPr>
          <w:color w:val="231F20"/>
          <w:sz w:val="16"/>
        </w:rPr>
        <w:t>S.R.,</w:t>
      </w:r>
      <w:r>
        <w:rPr>
          <w:color w:val="231F20"/>
          <w:spacing w:val="-6"/>
          <w:sz w:val="16"/>
        </w:rPr>
        <w:t> </w:t>
      </w:r>
      <w:r>
        <w:rPr>
          <w:color w:val="231F20"/>
          <w:sz w:val="16"/>
        </w:rPr>
        <w:t>McNicoll,</w:t>
      </w:r>
      <w:r>
        <w:rPr>
          <w:color w:val="231F20"/>
          <w:spacing w:val="-8"/>
          <w:sz w:val="16"/>
        </w:rPr>
        <w:t> </w:t>
      </w:r>
      <w:r>
        <w:rPr>
          <w:color w:val="231F20"/>
          <w:spacing w:val="-7"/>
          <w:sz w:val="16"/>
        </w:rPr>
        <w:t>V.,</w:t>
      </w:r>
      <w:r>
        <w:rPr>
          <w:color w:val="231F20"/>
          <w:spacing w:val="-6"/>
          <w:sz w:val="16"/>
        </w:rPr>
        <w:t> </w:t>
      </w:r>
      <w:r>
        <w:rPr>
          <w:color w:val="231F20"/>
          <w:sz w:val="16"/>
        </w:rPr>
        <w:t>and</w:t>
      </w:r>
      <w:r>
        <w:rPr>
          <w:color w:val="231F20"/>
          <w:spacing w:val="-6"/>
          <w:sz w:val="16"/>
        </w:rPr>
        <w:t> </w:t>
      </w:r>
      <w:r>
        <w:rPr>
          <w:color w:val="231F20"/>
          <w:sz w:val="16"/>
        </w:rPr>
        <w:t>Ravenhurst,</w:t>
      </w:r>
      <w:r>
        <w:rPr>
          <w:color w:val="231F20"/>
          <w:spacing w:val="-6"/>
          <w:sz w:val="16"/>
        </w:rPr>
        <w:t> </w:t>
      </w:r>
      <w:r>
        <w:rPr>
          <w:color w:val="231F20"/>
          <w:sz w:val="16"/>
        </w:rPr>
        <w:t>C.E.,</w:t>
      </w:r>
      <w:r>
        <w:rPr>
          <w:color w:val="231F20"/>
          <w:spacing w:val="-6"/>
          <w:sz w:val="16"/>
        </w:rPr>
        <w:t> </w:t>
      </w:r>
      <w:r>
        <w:rPr>
          <w:color w:val="231F20"/>
          <w:sz w:val="16"/>
        </w:rPr>
        <w:t>2003,</w:t>
      </w:r>
      <w:r>
        <w:rPr>
          <w:color w:val="231F20"/>
          <w:spacing w:val="-6"/>
          <w:sz w:val="16"/>
        </w:rPr>
        <w:t> </w:t>
      </w:r>
      <w:r>
        <w:rPr>
          <w:color w:val="231F20"/>
          <w:sz w:val="16"/>
        </w:rPr>
        <w:t>Geology and tectonic history of the Bathurst Supergroup, Bathurst Mining Camp, and its relationships to coeval rocks in southwestern New Brunswick and adjacent Maine - a synthesis, </w:t>
      </w:r>
      <w:r>
        <w:rPr>
          <w:i/>
          <w:color w:val="231F20"/>
          <w:sz w:val="16"/>
        </w:rPr>
        <w:t>in </w:t>
      </w:r>
      <w:r>
        <w:rPr>
          <w:color w:val="231F20"/>
          <w:sz w:val="16"/>
        </w:rPr>
        <w:t>Goodfellow, </w:t>
      </w:r>
      <w:r>
        <w:rPr>
          <w:color w:val="231F20"/>
          <w:spacing w:val="-3"/>
          <w:sz w:val="16"/>
        </w:rPr>
        <w:t>W.D., </w:t>
      </w:r>
      <w:r>
        <w:rPr>
          <w:color w:val="231F20"/>
          <w:sz w:val="16"/>
        </w:rPr>
        <w:t>McCutcheon, S.R., and Peter, J.M., eds., Massive Sulfide Deposits of the Bathurst Mining Camp, New Brunswick and Northern Maine: Economic Geology Monograph 11, p.</w:t>
      </w:r>
      <w:r>
        <w:rPr>
          <w:color w:val="231F20"/>
          <w:spacing w:val="15"/>
          <w:sz w:val="16"/>
        </w:rPr>
        <w:t> </w:t>
      </w:r>
      <w:r>
        <w:rPr>
          <w:color w:val="231F20"/>
          <w:sz w:val="16"/>
        </w:rPr>
        <w:t>37-60.</w:t>
      </w:r>
    </w:p>
    <w:p>
      <w:pPr>
        <w:spacing w:line="230" w:lineRule="auto" w:before="24"/>
        <w:ind w:left="606" w:right="1081" w:hanging="288"/>
        <w:jc w:val="both"/>
        <w:rPr>
          <w:sz w:val="16"/>
        </w:rPr>
      </w:pPr>
      <w:r>
        <w:rPr>
          <w:color w:val="231F20"/>
          <w:spacing w:val="-3"/>
          <w:sz w:val="16"/>
        </w:rPr>
        <w:t>Walker, </w:t>
      </w:r>
      <w:r>
        <w:rPr>
          <w:color w:val="231F20"/>
          <w:spacing w:val="-4"/>
          <w:sz w:val="16"/>
        </w:rPr>
        <w:t>P.N., </w:t>
      </w:r>
      <w:r>
        <w:rPr>
          <w:color w:val="231F20"/>
          <w:sz w:val="16"/>
        </w:rPr>
        <w:t>and Barbour, D.M., 1981,Geology of the Buchans ore</w:t>
      </w:r>
      <w:r>
        <w:rPr>
          <w:color w:val="231F20"/>
          <w:spacing w:val="-11"/>
          <w:sz w:val="16"/>
        </w:rPr>
        <w:t> </w:t>
      </w:r>
      <w:r>
        <w:rPr>
          <w:color w:val="231F20"/>
          <w:sz w:val="16"/>
        </w:rPr>
        <w:t>horizon breccias, </w:t>
      </w:r>
      <w:r>
        <w:rPr>
          <w:i/>
          <w:color w:val="231F20"/>
          <w:sz w:val="16"/>
        </w:rPr>
        <w:t>in </w:t>
      </w:r>
      <w:r>
        <w:rPr>
          <w:color w:val="231F20"/>
          <w:sz w:val="16"/>
        </w:rPr>
        <w:t>Swanson, E.A., Strong, </w:t>
      </w:r>
      <w:r>
        <w:rPr>
          <w:color w:val="231F20"/>
          <w:spacing w:val="-3"/>
          <w:sz w:val="16"/>
        </w:rPr>
        <w:t>D.F., </w:t>
      </w:r>
      <w:r>
        <w:rPr>
          <w:color w:val="231F20"/>
          <w:sz w:val="16"/>
        </w:rPr>
        <w:t>and Thurlow, </w:t>
      </w:r>
      <w:r>
        <w:rPr>
          <w:color w:val="231F20"/>
          <w:spacing w:val="-5"/>
          <w:sz w:val="16"/>
        </w:rPr>
        <w:t>J.G., </w:t>
      </w:r>
      <w:r>
        <w:rPr>
          <w:color w:val="231F20"/>
          <w:sz w:val="16"/>
        </w:rPr>
        <w:t>eds., The Buchans Ore Body; Fifty </w:t>
      </w:r>
      <w:r>
        <w:rPr>
          <w:color w:val="231F20"/>
          <w:spacing w:val="-4"/>
          <w:sz w:val="16"/>
        </w:rPr>
        <w:t>Years </w:t>
      </w:r>
      <w:r>
        <w:rPr>
          <w:color w:val="231F20"/>
          <w:sz w:val="16"/>
        </w:rPr>
        <w:t>of Geology and Mining: Geological Association of Canada, Special Paper 22, p.</w:t>
      </w:r>
      <w:r>
        <w:rPr>
          <w:color w:val="231F20"/>
          <w:spacing w:val="20"/>
          <w:sz w:val="16"/>
        </w:rPr>
        <w:t> </w:t>
      </w:r>
      <w:r>
        <w:rPr>
          <w:color w:val="231F20"/>
          <w:sz w:val="16"/>
        </w:rPr>
        <w:t>161-185.</w:t>
      </w:r>
    </w:p>
    <w:p>
      <w:pPr>
        <w:spacing w:line="230" w:lineRule="auto" w:before="26"/>
        <w:ind w:left="606" w:right="1080" w:hanging="288"/>
        <w:jc w:val="both"/>
        <w:rPr>
          <w:sz w:val="16"/>
        </w:rPr>
      </w:pPr>
      <w:r>
        <w:rPr>
          <w:color w:val="231F20"/>
          <w:sz w:val="16"/>
        </w:rPr>
        <w:t>Whalen, J.B., McNicoll, V.J., Galley, A.G., and Longstaffe, F.J., 2004, Tectonic and metallogenic importance of an Archean composite high- and low-Al tonalite suite, western Superior Province, Canada: Precambrian Research, v. 132, p. 275-301.</w:t>
      </w:r>
    </w:p>
    <w:p>
      <w:pPr>
        <w:spacing w:line="230" w:lineRule="auto" w:before="27"/>
        <w:ind w:left="606" w:right="1080" w:hanging="288"/>
        <w:jc w:val="both"/>
        <w:rPr>
          <w:sz w:val="16"/>
        </w:rPr>
      </w:pPr>
      <w:r>
        <w:rPr>
          <w:color w:val="231F20"/>
          <w:sz w:val="16"/>
        </w:rPr>
        <w:t>Wyman, D.A., Bleeker, W., and Kerrich, R., 1999, A 2.7 Ga komatiite, low Ti tholeiite, arc tholeiite transition, and inferred proto-arc geodynamic setting of the Kidd Creek deposit: Evidence from precise trace element data, </w:t>
      </w:r>
      <w:r>
        <w:rPr>
          <w:i/>
          <w:color w:val="231F20"/>
          <w:sz w:val="16"/>
        </w:rPr>
        <w:t>in </w:t>
      </w:r>
      <w:r>
        <w:rPr>
          <w:color w:val="231F20"/>
          <w:sz w:val="16"/>
        </w:rPr>
        <w:t>Hannington, M.D., and Barrie, C.T., eds., The Giant Kidd Creek Volcanogenic Massive Sulfide Deposit, Western Abitibi Subprovince, Canada: Economic Geology Monograph 10, p. 511-528.</w:t>
      </w:r>
    </w:p>
    <w:p>
      <w:pPr>
        <w:spacing w:line="230" w:lineRule="auto" w:before="25"/>
        <w:ind w:left="606" w:right="1081" w:hanging="288"/>
        <w:jc w:val="both"/>
        <w:rPr>
          <w:sz w:val="16"/>
        </w:rPr>
      </w:pPr>
      <w:r>
        <w:rPr>
          <w:color w:val="231F20"/>
          <w:sz w:val="16"/>
        </w:rPr>
        <w:t>Yang, K., and Scott, S.D., 2003, Geochemical relationships of felsic mag- mas to ore metals in massive sulfide deposits of the Bathurst mining camp, Iberian Pyrite Belt, Hokuroko district and the Abitibi Belt, </w:t>
      </w:r>
      <w:r>
        <w:rPr>
          <w:i/>
          <w:color w:val="231F20"/>
          <w:sz w:val="16"/>
        </w:rPr>
        <w:t>in </w:t>
      </w:r>
      <w:r>
        <w:rPr>
          <w:color w:val="231F20"/>
          <w:sz w:val="16"/>
        </w:rPr>
        <w:t>Goodfellow, W.D., McCutcheon, S.R., and Peter, J.M., eds., Massive Sulfide Deposits of the Bathurst Mining Camp, New Brunswick and Northern Maine: Economic Geology, Monograph 11, p. 457-478.</w:t>
      </w:r>
    </w:p>
    <w:p>
      <w:pPr>
        <w:spacing w:line="230" w:lineRule="auto" w:before="25"/>
        <w:ind w:left="606" w:right="1084" w:hanging="288"/>
        <w:jc w:val="both"/>
        <w:rPr>
          <w:sz w:val="16"/>
        </w:rPr>
      </w:pPr>
      <w:r>
        <w:rPr>
          <w:color w:val="231F20"/>
          <w:sz w:val="16"/>
        </w:rPr>
        <w:t>Ziegler, P.L., 1992, Plate tectonics, plate moving mechanisms and rifting: Tectonophysics, v. 215, p. 9-34.</w:t>
      </w:r>
    </w:p>
    <w:sectPr>
      <w:pgSz w:w="12240" w:h="15840"/>
      <w:pgMar w:header="673" w:footer="779" w:top="1000" w:bottom="960" w:left="0" w:right="0"/>
      <w:cols w:num="2" w:equalWidth="0">
        <w:col w:w="5958" w:space="40"/>
        <w:col w:w="624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crosoft Sans Serif">
    <w:altName w:val="Microsoft Sans Serif"/>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811001pt;margin-top:742.065247pt;width:19pt;height:15.15pt;mso-position-horizontal-relative:page;mso-position-vertical-relative:page;z-index:-182224" type="#_x0000_t202" filled="false" stroked="false">
          <v:textbox inset="0,0,0,0">
            <w:txbxContent>
              <w:p>
                <w:pPr>
                  <w:pStyle w:val="BodyText"/>
                  <w:spacing w:before="34"/>
                  <w:ind w:left="40"/>
                </w:pPr>
                <w:r>
                  <w:rPr/>
                  <w:fldChar w:fldCharType="begin"/>
                </w:r>
                <w:r>
                  <w:rPr>
                    <w:color w:val="231F20"/>
                  </w:rPr>
                  <w:instrText> PAGE </w:instrText>
                </w:r>
                <w:r>
                  <w:rPr/>
                  <w:fldChar w:fldCharType="separate"/>
                </w:r>
                <w:r>
                  <w:rPr/>
                  <w:t>142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5.276001pt;margin-top:742.065247pt;width:19pt;height:15.15pt;mso-position-horizontal-relative:page;mso-position-vertical-relative:page;z-index:-182200" type="#_x0000_t202" filled="false" stroked="false">
          <v:textbox inset="0,0,0,0">
            <w:txbxContent>
              <w:p>
                <w:pPr>
                  <w:pStyle w:val="BodyText"/>
                  <w:spacing w:before="34"/>
                  <w:ind w:left="40"/>
                </w:pPr>
                <w:r>
                  <w:rPr/>
                  <w:fldChar w:fldCharType="begin"/>
                </w:r>
                <w:r>
                  <w:rPr>
                    <w:color w:val="231F20"/>
                  </w:rPr>
                  <w:instrText> PAGE </w:instrText>
                </w:r>
                <w:r>
                  <w:rPr/>
                  <w:fldChar w:fldCharType="separate"/>
                </w:r>
                <w:r>
                  <w:rPr/>
                  <w:t>143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320" from="54pt,50.400002pt" to="558pt,50.400002pt" stroked="true" strokeweight=".25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199.276794pt;margin-top:32.674812pt;width:213.5pt;height:15.35pt;mso-position-horizontal-relative:page;mso-position-vertical-relative:page;z-index:-182296" type="#_x0000_t202" filled="false" stroked="false">
          <v:textbox inset="0,0,0,0">
            <w:txbxContent>
              <w:p>
                <w:pPr>
                  <w:spacing w:before="38"/>
                  <w:ind w:left="20" w:right="0" w:firstLine="0"/>
                  <w:jc w:val="left"/>
                  <w:rPr>
                    <w:b/>
                    <w:sz w:val="20"/>
                  </w:rPr>
                </w:pPr>
                <w:r>
                  <w:rPr>
                    <w:b/>
                    <w:color w:val="231F20"/>
                    <w:sz w:val="20"/>
                  </w:rPr>
                  <w:t>A.G. Galley, M.D. Hannington, and I.R. Jonasson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272" from="54pt,50.400002pt" to="557.993pt,50.400002pt" stroked="true" strokeweight=".25pt" strokecolor="#231f20">
          <v:stroke dashstyle="solid"/>
          <w10:wrap type="none"/>
        </v:line>
      </w:pict>
    </w:r>
    <w:r>
      <w:rPr/>
      <w:pict>
        <v:shape style="position:absolute;margin-left:223.948303pt;margin-top:32.674812pt;width:174.9pt;height:15.35pt;mso-position-horizontal-relative:page;mso-position-vertical-relative:page;z-index:-182248" type="#_x0000_t202" filled="false" stroked="false">
          <v:textbox inset="0,0,0,0">
            <w:txbxContent>
              <w:p>
                <w:pPr>
                  <w:spacing w:before="38"/>
                  <w:ind w:left="20" w:right="0" w:firstLine="0"/>
                  <w:jc w:val="left"/>
                  <w:rPr>
                    <w:b/>
                    <w:sz w:val="20"/>
                  </w:rPr>
                </w:pPr>
                <w:r>
                  <w:rPr>
                    <w:b/>
                    <w:color w:val="231F20"/>
                    <w:sz w:val="20"/>
                  </w:rPr>
                  <w:t>Volcanogenic Massive Sulphide Deposits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23.948303pt;margin-top:32.674812pt;width:174.9pt;height:15.35pt;mso-position-horizontal-relative:page;mso-position-vertical-relative:page;z-index:-182176" type="#_x0000_t202" filled="false" stroked="false">
          <v:textbox inset="0,0,0,0">
            <w:txbxContent>
              <w:p>
                <w:pPr>
                  <w:spacing w:before="38"/>
                  <w:ind w:left="20" w:right="0" w:firstLine="0"/>
                  <w:jc w:val="left"/>
                  <w:rPr>
                    <w:b/>
                    <w:sz w:val="20"/>
                  </w:rPr>
                </w:pPr>
                <w:r>
                  <w:rPr>
                    <w:b/>
                    <w:color w:val="231F20"/>
                    <w:sz w:val="20"/>
                  </w:rPr>
                  <w:t>Volcanogenic Massive Sulphide Deposits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152" from="54pt,50.400002pt" to="558pt,50.400002pt" stroked="true" strokeweight=".25pt" strokecolor="#231f20">
          <v:stroke dashstyle="solid"/>
          <w10:wrap type="none"/>
        </v:line>
      </w:pict>
    </w:r>
    <w:r>
      <w:rPr/>
      <w:pict>
        <v:shape style="position:absolute;margin-left:199.276794pt;margin-top:32.674812pt;width:213.5pt;height:15.35pt;mso-position-horizontal-relative:page;mso-position-vertical-relative:page;z-index:-182128" type="#_x0000_t202" filled="false" stroked="false">
          <v:textbox inset="0,0,0,0">
            <w:txbxContent>
              <w:p>
                <w:pPr>
                  <w:spacing w:before="38"/>
                  <w:ind w:left="20" w:right="0" w:firstLine="0"/>
                  <w:jc w:val="left"/>
                  <w:rPr>
                    <w:b/>
                    <w:sz w:val="20"/>
                  </w:rPr>
                </w:pPr>
                <w:r>
                  <w:rPr>
                    <w:b/>
                    <w:color w:val="231F20"/>
                    <w:sz w:val="20"/>
                  </w:rPr>
                  <w:t>A.G. Galley, M.D. Hannington, and I.R. Jonasson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104" from="54pt,50.400002pt" to="557.993pt,50.400002pt" stroked="true" strokeweight=".25pt" strokecolor="#231f20">
          <v:stroke dashstyle="solid"/>
          <w10:wrap type="none"/>
        </v:line>
      </w:pict>
    </w:r>
    <w:r>
      <w:rPr/>
      <w:pict>
        <v:shape style="position:absolute;margin-left:223.948303pt;margin-top:32.674812pt;width:174.9pt;height:15.35pt;mso-position-horizontal-relative:page;mso-position-vertical-relative:page;z-index:-182080" type="#_x0000_t202" filled="false" stroked="false">
          <v:textbox inset="0,0,0,0">
            <w:txbxContent>
              <w:p>
                <w:pPr>
                  <w:spacing w:before="38"/>
                  <w:ind w:left="20" w:right="0" w:firstLine="0"/>
                  <w:jc w:val="left"/>
                  <w:rPr>
                    <w:b/>
                    <w:sz w:val="20"/>
                  </w:rPr>
                </w:pPr>
                <w:r>
                  <w:rPr>
                    <w:b/>
                    <w:color w:val="231F20"/>
                    <w:sz w:val="20"/>
                  </w:rPr>
                  <w:t>Volcanogenic Massive Sulphide Deposits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82056" from="54pt,50.400002pt" to="558pt,50.400002pt" stroked="true" strokeweight=".25pt" strokecolor="#231f20">
          <v:stroke dashstyle="solid"/>
          <w10:wrap type="none"/>
        </v:line>
      </w:pict>
    </w:r>
    <w:r>
      <w:rPr/>
      <w:pict>
        <v:shape style="position:absolute;margin-left:199.276794pt;margin-top:32.674812pt;width:213.5pt;height:15.35pt;mso-position-horizontal-relative:page;mso-position-vertical-relative:page;z-index:-182032" type="#_x0000_t202" filled="false" stroked="false">
          <v:textbox inset="0,0,0,0">
            <w:txbxContent>
              <w:p>
                <w:pPr>
                  <w:spacing w:before="38"/>
                  <w:ind w:left="20" w:right="0" w:firstLine="0"/>
                  <w:jc w:val="left"/>
                  <w:rPr>
                    <w:b/>
                    <w:sz w:val="20"/>
                  </w:rPr>
                </w:pPr>
                <w:r>
                  <w:rPr>
                    <w:b/>
                    <w:color w:val="231F20"/>
                    <w:sz w:val="20"/>
                  </w:rPr>
                  <w:t>A.G. Galley, M.D. Hannington, and I.R. Jonasson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
      <w:numFmt w:val="upperLetter"/>
      <w:lvlText w:val="(%1)"/>
      <w:lvlJc w:val="left"/>
      <w:pPr>
        <w:ind w:left="19" w:hanging="262"/>
        <w:jc w:val="left"/>
      </w:pPr>
      <w:rPr>
        <w:rFonts w:hint="default" w:ascii="Times New Roman" w:hAnsi="Times New Roman" w:eastAsia="Times New Roman" w:cs="Times New Roman"/>
        <w:b/>
        <w:bCs/>
        <w:color w:val="231F20"/>
        <w:w w:val="100"/>
        <w:sz w:val="16"/>
        <w:szCs w:val="16"/>
      </w:rPr>
    </w:lvl>
    <w:lvl w:ilvl="1">
      <w:start w:val="0"/>
      <w:numFmt w:val="bullet"/>
      <w:lvlText w:val="•"/>
      <w:lvlJc w:val="left"/>
      <w:pPr>
        <w:ind w:left="1026" w:hanging="262"/>
      </w:pPr>
      <w:rPr>
        <w:rFonts w:hint="default"/>
      </w:rPr>
    </w:lvl>
    <w:lvl w:ilvl="2">
      <w:start w:val="0"/>
      <w:numFmt w:val="bullet"/>
      <w:lvlText w:val="•"/>
      <w:lvlJc w:val="left"/>
      <w:pPr>
        <w:ind w:left="2032" w:hanging="262"/>
      </w:pPr>
      <w:rPr>
        <w:rFonts w:hint="default"/>
      </w:rPr>
    </w:lvl>
    <w:lvl w:ilvl="3">
      <w:start w:val="0"/>
      <w:numFmt w:val="bullet"/>
      <w:lvlText w:val="•"/>
      <w:lvlJc w:val="left"/>
      <w:pPr>
        <w:ind w:left="3038" w:hanging="262"/>
      </w:pPr>
      <w:rPr>
        <w:rFonts w:hint="default"/>
      </w:rPr>
    </w:lvl>
    <w:lvl w:ilvl="4">
      <w:start w:val="0"/>
      <w:numFmt w:val="bullet"/>
      <w:lvlText w:val="•"/>
      <w:lvlJc w:val="left"/>
      <w:pPr>
        <w:ind w:left="4044" w:hanging="262"/>
      </w:pPr>
      <w:rPr>
        <w:rFonts w:hint="default"/>
      </w:rPr>
    </w:lvl>
    <w:lvl w:ilvl="5">
      <w:start w:val="0"/>
      <w:numFmt w:val="bullet"/>
      <w:lvlText w:val="•"/>
      <w:lvlJc w:val="left"/>
      <w:pPr>
        <w:ind w:left="5050" w:hanging="262"/>
      </w:pPr>
      <w:rPr>
        <w:rFonts w:hint="default"/>
      </w:rPr>
    </w:lvl>
    <w:lvl w:ilvl="6">
      <w:start w:val="0"/>
      <w:numFmt w:val="bullet"/>
      <w:lvlText w:val="•"/>
      <w:lvlJc w:val="left"/>
      <w:pPr>
        <w:ind w:left="6056" w:hanging="262"/>
      </w:pPr>
      <w:rPr>
        <w:rFonts w:hint="default"/>
      </w:rPr>
    </w:lvl>
    <w:lvl w:ilvl="7">
      <w:start w:val="0"/>
      <w:numFmt w:val="bullet"/>
      <w:lvlText w:val="•"/>
      <w:lvlJc w:val="left"/>
      <w:pPr>
        <w:ind w:left="7062" w:hanging="262"/>
      </w:pPr>
      <w:rPr>
        <w:rFonts w:hint="default"/>
      </w:rPr>
    </w:lvl>
    <w:lvl w:ilvl="8">
      <w:start w:val="0"/>
      <w:numFmt w:val="bullet"/>
      <w:lvlText w:val="•"/>
      <w:lvlJc w:val="left"/>
      <w:pPr>
        <w:ind w:left="8068" w:hanging="262"/>
      </w:pPr>
      <w:rPr>
        <w:rFonts w:hint="default"/>
      </w:rPr>
    </w:lvl>
  </w:abstractNum>
  <w:abstractNum w:abstractNumId="1">
    <w:multiLevelType w:val="hybridMultilevel"/>
    <w:lvl w:ilvl="0">
      <w:start w:val="12"/>
      <w:numFmt w:val="decimal"/>
      <w:lvlText w:val="%1"/>
      <w:lvlJc w:val="left"/>
      <w:pPr>
        <w:ind w:left="715" w:hanging="401"/>
        <w:jc w:val="left"/>
      </w:pPr>
      <w:rPr>
        <w:rFonts w:hint="default"/>
      </w:rPr>
    </w:lvl>
    <w:lvl w:ilvl="1">
      <w:start w:val="6"/>
      <w:numFmt w:val="decimal"/>
      <w:lvlText w:val="%1.%2"/>
      <w:lvlJc w:val="left"/>
      <w:pPr>
        <w:ind w:left="715" w:hanging="401"/>
        <w:jc w:val="left"/>
      </w:pPr>
      <w:rPr>
        <w:rFonts w:hint="default" w:ascii="Times New Roman" w:hAnsi="Times New Roman" w:eastAsia="Times New Roman" w:cs="Times New Roman"/>
        <w:color w:val="231F20"/>
        <w:spacing w:val="-4"/>
        <w:w w:val="100"/>
        <w:sz w:val="20"/>
        <w:szCs w:val="20"/>
      </w:rPr>
    </w:lvl>
    <w:lvl w:ilvl="2">
      <w:start w:val="1"/>
      <w:numFmt w:val="decimal"/>
      <w:lvlText w:val="(%3)"/>
      <w:lvlJc w:val="left"/>
      <w:pPr>
        <w:ind w:left="2068" w:hanging="212"/>
        <w:jc w:val="left"/>
      </w:pPr>
      <w:rPr>
        <w:rFonts w:hint="default" w:ascii="Times New Roman" w:hAnsi="Times New Roman" w:eastAsia="Times New Roman" w:cs="Times New Roman"/>
        <w:color w:val="231F20"/>
        <w:w w:val="99"/>
        <w:sz w:val="15"/>
        <w:szCs w:val="15"/>
      </w:rPr>
    </w:lvl>
    <w:lvl w:ilvl="3">
      <w:start w:val="0"/>
      <w:numFmt w:val="bullet"/>
      <w:lvlText w:val="•"/>
      <w:lvlJc w:val="left"/>
      <w:pPr>
        <w:ind w:left="2988" w:hanging="212"/>
      </w:pPr>
      <w:rPr>
        <w:rFonts w:hint="default"/>
      </w:rPr>
    </w:lvl>
    <w:lvl w:ilvl="4">
      <w:start w:val="0"/>
      <w:numFmt w:val="bullet"/>
      <w:lvlText w:val="•"/>
      <w:lvlJc w:val="left"/>
      <w:pPr>
        <w:ind w:left="3453" w:hanging="212"/>
      </w:pPr>
      <w:rPr>
        <w:rFonts w:hint="default"/>
      </w:rPr>
    </w:lvl>
    <w:lvl w:ilvl="5">
      <w:start w:val="0"/>
      <w:numFmt w:val="bullet"/>
      <w:lvlText w:val="•"/>
      <w:lvlJc w:val="left"/>
      <w:pPr>
        <w:ind w:left="3917" w:hanging="212"/>
      </w:pPr>
      <w:rPr>
        <w:rFonts w:hint="default"/>
      </w:rPr>
    </w:lvl>
    <w:lvl w:ilvl="6">
      <w:start w:val="0"/>
      <w:numFmt w:val="bullet"/>
      <w:lvlText w:val="•"/>
      <w:lvlJc w:val="left"/>
      <w:pPr>
        <w:ind w:left="4382" w:hanging="212"/>
      </w:pPr>
      <w:rPr>
        <w:rFonts w:hint="default"/>
      </w:rPr>
    </w:lvl>
    <w:lvl w:ilvl="7">
      <w:start w:val="0"/>
      <w:numFmt w:val="bullet"/>
      <w:lvlText w:val="•"/>
      <w:lvlJc w:val="left"/>
      <w:pPr>
        <w:ind w:left="4846" w:hanging="212"/>
      </w:pPr>
      <w:rPr>
        <w:rFonts w:hint="default"/>
      </w:rPr>
    </w:lvl>
    <w:lvl w:ilvl="8">
      <w:start w:val="0"/>
      <w:numFmt w:val="bullet"/>
      <w:lvlText w:val="•"/>
      <w:lvlJc w:val="left"/>
      <w:pPr>
        <w:ind w:left="5311" w:hanging="212"/>
      </w:pPr>
      <w:rPr>
        <w:rFonts w:hint="default"/>
      </w:rPr>
    </w:lvl>
  </w:abstractNum>
  <w:abstractNum w:abstractNumId="0">
    <w:multiLevelType w:val="hybridMultilevel"/>
    <w:lvl w:ilvl="0">
      <w:start w:val="1"/>
      <w:numFmt w:val="decimal"/>
      <w:lvlText w:val="%1."/>
      <w:lvlJc w:val="left"/>
      <w:pPr>
        <w:ind w:left="3995" w:hanging="205"/>
        <w:jc w:val="right"/>
      </w:pPr>
      <w:rPr>
        <w:rFonts w:hint="default" w:ascii="Times New Roman" w:hAnsi="Times New Roman" w:eastAsia="Times New Roman" w:cs="Times New Roman"/>
        <w:i/>
        <w:color w:val="231F20"/>
        <w:w w:val="100"/>
        <w:sz w:val="20"/>
        <w:szCs w:val="20"/>
      </w:rPr>
    </w:lvl>
    <w:lvl w:ilvl="1">
      <w:start w:val="0"/>
      <w:numFmt w:val="bullet"/>
      <w:lvlText w:val="•"/>
      <w:lvlJc w:val="left"/>
      <w:pPr>
        <w:ind w:left="4824" w:hanging="205"/>
      </w:pPr>
      <w:rPr>
        <w:rFonts w:hint="default"/>
      </w:rPr>
    </w:lvl>
    <w:lvl w:ilvl="2">
      <w:start w:val="0"/>
      <w:numFmt w:val="bullet"/>
      <w:lvlText w:val="•"/>
      <w:lvlJc w:val="left"/>
      <w:pPr>
        <w:ind w:left="5648" w:hanging="205"/>
      </w:pPr>
      <w:rPr>
        <w:rFonts w:hint="default"/>
      </w:rPr>
    </w:lvl>
    <w:lvl w:ilvl="3">
      <w:start w:val="0"/>
      <w:numFmt w:val="bullet"/>
      <w:lvlText w:val="•"/>
      <w:lvlJc w:val="left"/>
      <w:pPr>
        <w:ind w:left="6472" w:hanging="205"/>
      </w:pPr>
      <w:rPr>
        <w:rFonts w:hint="default"/>
      </w:rPr>
    </w:lvl>
    <w:lvl w:ilvl="4">
      <w:start w:val="0"/>
      <w:numFmt w:val="bullet"/>
      <w:lvlText w:val="•"/>
      <w:lvlJc w:val="left"/>
      <w:pPr>
        <w:ind w:left="7296" w:hanging="205"/>
      </w:pPr>
      <w:rPr>
        <w:rFonts w:hint="default"/>
      </w:rPr>
    </w:lvl>
    <w:lvl w:ilvl="5">
      <w:start w:val="0"/>
      <w:numFmt w:val="bullet"/>
      <w:lvlText w:val="•"/>
      <w:lvlJc w:val="left"/>
      <w:pPr>
        <w:ind w:left="8120" w:hanging="205"/>
      </w:pPr>
      <w:rPr>
        <w:rFonts w:hint="default"/>
      </w:rPr>
    </w:lvl>
    <w:lvl w:ilvl="6">
      <w:start w:val="0"/>
      <w:numFmt w:val="bullet"/>
      <w:lvlText w:val="•"/>
      <w:lvlJc w:val="left"/>
      <w:pPr>
        <w:ind w:left="8944" w:hanging="205"/>
      </w:pPr>
      <w:rPr>
        <w:rFonts w:hint="default"/>
      </w:rPr>
    </w:lvl>
    <w:lvl w:ilvl="7">
      <w:start w:val="0"/>
      <w:numFmt w:val="bullet"/>
      <w:lvlText w:val="•"/>
      <w:lvlJc w:val="left"/>
      <w:pPr>
        <w:ind w:left="9768" w:hanging="205"/>
      </w:pPr>
      <w:rPr>
        <w:rFonts w:hint="default"/>
      </w:rPr>
    </w:lvl>
    <w:lvl w:ilvl="8">
      <w:start w:val="0"/>
      <w:numFmt w:val="bullet"/>
      <w:lvlText w:val="•"/>
      <w:lvlJc w:val="left"/>
      <w:pPr>
        <w:ind w:left="10592" w:hanging="205"/>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38"/>
      <w:ind w:left="20"/>
      <w:outlineLvl w:val="1"/>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3995" w:hanging="2516"/>
    </w:pPr>
    <w:rPr>
      <w:rFonts w:ascii="Times New Roman" w:hAnsi="Times New Roman" w:eastAsia="Times New Roman" w:cs="Times New Roman"/>
    </w:rPr>
  </w:style>
  <w:style w:styleId="TableParagraph" w:type="paragraph">
    <w:name w:val="Table Paragraph"/>
    <w:basedOn w:val="Normal"/>
    <w:uiPriority w:val="1"/>
    <w:qFormat/>
    <w:pPr>
      <w:spacing w:before="10" w:line="116"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galley@nrcan.gc.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jpe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header" Target="header3.xml"/><Relationship Id="rId146" Type="http://schemas.openxmlformats.org/officeDocument/2006/relationships/header" Target="header4.xml"/><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header" Target="header5.xml"/><Relationship Id="rId170" Type="http://schemas.openxmlformats.org/officeDocument/2006/relationships/header" Target="header6.xml"/><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image" Target="media/image162.png"/><Relationship Id="rId176" Type="http://schemas.openxmlformats.org/officeDocument/2006/relationships/image" Target="media/image163.png"/><Relationship Id="rId177" Type="http://schemas.openxmlformats.org/officeDocument/2006/relationships/image" Target="media/image164.png"/><Relationship Id="rId178" Type="http://schemas.openxmlformats.org/officeDocument/2006/relationships/image" Target="media/image165.png"/><Relationship Id="rId179" Type="http://schemas.openxmlformats.org/officeDocument/2006/relationships/image" Target="media/image166.png"/><Relationship Id="rId180" Type="http://schemas.openxmlformats.org/officeDocument/2006/relationships/image" Target="media/image167.jpeg"/><Relationship Id="rId181" Type="http://schemas.openxmlformats.org/officeDocument/2006/relationships/image" Target="media/image168.jpeg"/><Relationship Id="rId182" Type="http://schemas.openxmlformats.org/officeDocument/2006/relationships/image" Target="media/image169.jpeg"/><Relationship Id="rId183" Type="http://schemas.openxmlformats.org/officeDocument/2006/relationships/image" Target="media/image170.jpe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image" Target="media/image194.png"/><Relationship Id="rId208" Type="http://schemas.openxmlformats.org/officeDocument/2006/relationships/image" Target="media/image195.png"/><Relationship Id="rId209" Type="http://schemas.openxmlformats.org/officeDocument/2006/relationships/image" Target="media/image196.png"/><Relationship Id="rId210" Type="http://schemas.openxmlformats.org/officeDocument/2006/relationships/image" Target="media/image197.png"/><Relationship Id="rId211" Type="http://schemas.openxmlformats.org/officeDocument/2006/relationships/image" Target="media/image198.png"/><Relationship Id="rId212" Type="http://schemas.openxmlformats.org/officeDocument/2006/relationships/image" Target="media/image199.png"/><Relationship Id="rId213" Type="http://schemas.openxmlformats.org/officeDocument/2006/relationships/image" Target="media/image200.png"/><Relationship Id="rId214" Type="http://schemas.openxmlformats.org/officeDocument/2006/relationships/image" Target="media/image201.png"/><Relationship Id="rId215" Type="http://schemas.openxmlformats.org/officeDocument/2006/relationships/image" Target="media/image202.png"/><Relationship Id="rId216" Type="http://schemas.openxmlformats.org/officeDocument/2006/relationships/image" Target="media/image203.png"/><Relationship Id="rId217" Type="http://schemas.openxmlformats.org/officeDocument/2006/relationships/image" Target="media/image204.png"/><Relationship Id="rId218" Type="http://schemas.openxmlformats.org/officeDocument/2006/relationships/image" Target="media/image205.png"/><Relationship Id="rId219" Type="http://schemas.openxmlformats.org/officeDocument/2006/relationships/image" Target="media/image206.png"/><Relationship Id="rId220" Type="http://schemas.openxmlformats.org/officeDocument/2006/relationships/image" Target="media/image207.png"/><Relationship Id="rId221" Type="http://schemas.openxmlformats.org/officeDocument/2006/relationships/image" Target="media/image208.jpeg"/><Relationship Id="rId222" Type="http://schemas.openxmlformats.org/officeDocument/2006/relationships/image" Target="media/image209.jpeg"/><Relationship Id="rId223" Type="http://schemas.openxmlformats.org/officeDocument/2006/relationships/image" Target="media/image210.jpeg"/><Relationship Id="rId224" Type="http://schemas.openxmlformats.org/officeDocument/2006/relationships/image" Target="media/image211.jpeg"/><Relationship Id="rId225" Type="http://schemas.openxmlformats.org/officeDocument/2006/relationships/image" Target="media/image212.jpeg"/><Relationship Id="rId226" Type="http://schemas.openxmlformats.org/officeDocument/2006/relationships/image" Target="media/image213.jpeg"/><Relationship Id="rId227" Type="http://schemas.openxmlformats.org/officeDocument/2006/relationships/image" Target="media/image214.jpeg"/><Relationship Id="rId228" Type="http://schemas.openxmlformats.org/officeDocument/2006/relationships/image" Target="media/image215.png"/><Relationship Id="rId229" Type="http://schemas.openxmlformats.org/officeDocument/2006/relationships/image" Target="media/image216.jpeg"/><Relationship Id="rId230" Type="http://schemas.openxmlformats.org/officeDocument/2006/relationships/image" Target="media/image217.jpeg"/><Relationship Id="rId231" Type="http://schemas.openxmlformats.org/officeDocument/2006/relationships/image" Target="media/image218.jpeg"/><Relationship Id="rId232" Type="http://schemas.openxmlformats.org/officeDocument/2006/relationships/image" Target="media/image219.jpeg"/><Relationship Id="rId233" Type="http://schemas.openxmlformats.org/officeDocument/2006/relationships/image" Target="media/image220.png"/><Relationship Id="rId234" Type="http://schemas.openxmlformats.org/officeDocument/2006/relationships/image" Target="media/image221.png"/><Relationship Id="rId235" Type="http://schemas.openxmlformats.org/officeDocument/2006/relationships/image" Target="media/image222.png"/><Relationship Id="rId236" Type="http://schemas.openxmlformats.org/officeDocument/2006/relationships/image" Target="media/image223.png"/><Relationship Id="rId237" Type="http://schemas.openxmlformats.org/officeDocument/2006/relationships/image" Target="media/image224.png"/><Relationship Id="rId238" Type="http://schemas.openxmlformats.org/officeDocument/2006/relationships/image" Target="media/image225.png"/><Relationship Id="rId239" Type="http://schemas.openxmlformats.org/officeDocument/2006/relationships/image" Target="media/image226.png"/><Relationship Id="rId240" Type="http://schemas.openxmlformats.org/officeDocument/2006/relationships/hyperlink" Target="http://gdr.nrcan.gc.ca/minres/index_e.php" TargetMode="External"/><Relationship Id="rId2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Ambrose</dc:creator>
  <dc:title>Galley_et_al-VMS-final:deposit_synthesis.qxd.qxd</dc:title>
  <dcterms:created xsi:type="dcterms:W3CDTF">2018-07-24T17:53:01Z</dcterms:created>
  <dcterms:modified xsi:type="dcterms:W3CDTF">2018-07-24T17:53:01Z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2007-06-07T00:00:00Z</vt:filetime>
  </property>
  <property fmtid="{D5CDD505-2E9C-101B-9397-08002B2CF9AE}" pid="3" name="Creator">
    <vt:lpwstr>PScript5.dll Version 5.2.2</vt:lpwstr>
  </property>
  <property fmtid="{D5CDD505-2E9C-101B-9397-08002B2CF9AE}" pid="4" name="LastSaved">
    <vt:filetime>2018-07-24T00:00:00Z</vt:filetime>
  </property>
</Properties>
</file>