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F558F" w14:textId="34EDDC24" w:rsidR="00176931" w:rsidRDefault="00176931">
      <w:pPr>
        <w:spacing w:after="0" w:line="240" w:lineRule="auto"/>
        <w:rPr>
          <w:rFonts w:ascii="NTR" w:eastAsia="NTR" w:hAnsi="NTR" w:cs="NTR"/>
          <w:b/>
          <w:bCs/>
          <w:sz w:val="22"/>
          <w:szCs w:val="22"/>
        </w:rPr>
      </w:pPr>
    </w:p>
    <w:p w14:paraId="48721322" w14:textId="77777777" w:rsidR="00176931" w:rsidRDefault="00176931">
      <w:pPr>
        <w:spacing w:after="0" w:line="240" w:lineRule="auto"/>
        <w:rPr>
          <w:rFonts w:ascii="NTR" w:eastAsia="NTR" w:hAnsi="NTR" w:cs="NTR"/>
          <w:b/>
          <w:bCs/>
          <w:sz w:val="22"/>
          <w:szCs w:val="22"/>
        </w:rPr>
      </w:pPr>
    </w:p>
    <w:p w14:paraId="5B54E46E" w14:textId="77777777" w:rsidR="00176931" w:rsidRDefault="000D3B6D">
      <w:pPr>
        <w:spacing w:after="0" w:line="240" w:lineRule="auto"/>
        <w:rPr>
          <w:rFonts w:ascii="Arial" w:eastAsia="Arial" w:hAnsi="Arial" w:cs="Arial"/>
          <w:b/>
          <w:bCs/>
          <w:sz w:val="22"/>
          <w:szCs w:val="22"/>
        </w:rPr>
      </w:pPr>
      <w:r>
        <w:rPr>
          <w:rFonts w:ascii="Arial" w:eastAsia="Arial" w:hAnsi="Arial" w:cs="Arial"/>
          <w:b/>
          <w:bCs/>
          <w:sz w:val="22"/>
          <w:szCs w:val="22"/>
        </w:rPr>
        <w:t>CME Group and Morningstar Announce Exclusive Index Derivatives Licensing Agreement</w:t>
      </w:r>
    </w:p>
    <w:p w14:paraId="62CC2B12" w14:textId="77777777" w:rsidR="00176931" w:rsidRDefault="00176931">
      <w:pPr>
        <w:spacing w:after="0" w:line="240" w:lineRule="auto"/>
        <w:rPr>
          <w:rFonts w:ascii="Arial" w:eastAsia="Arial" w:hAnsi="Arial" w:cs="Arial"/>
          <w:b/>
          <w:bCs/>
          <w:sz w:val="22"/>
          <w:szCs w:val="22"/>
        </w:rPr>
      </w:pPr>
    </w:p>
    <w:p w14:paraId="4D9D4CF2" w14:textId="0BDBAA72" w:rsidR="00176931" w:rsidRDefault="000D3B6D">
      <w:pPr>
        <w:spacing w:line="240" w:lineRule="auto"/>
        <w:ind w:firstLine="720"/>
      </w:pPr>
      <w:r>
        <w:t xml:space="preserve">CHICAGO, June 10, 2026 – </w:t>
      </w:r>
      <w:r w:rsidR="00C407FD">
        <w:t xml:space="preserve">Morningstar, a leading provider of independent investment insights, along with </w:t>
      </w:r>
      <w:r>
        <w:t>CME Group, the world's leading derivatives marketplace, today announced that they have entered into a multi-year licensing agreement for CME Group to launch derivatives products based on key Morningstar equity index benchmarks, including the Morningstar US Total Market, Large Cap, Large Cap Value, Large Cap Growth, Mid Cap, and Small Cap Indexes.</w:t>
      </w:r>
    </w:p>
    <w:p w14:paraId="269DBFF9" w14:textId="171707EC" w:rsidR="00176931" w:rsidRDefault="000D3B6D" w:rsidP="0090784E">
      <w:pPr>
        <w:spacing w:after="0" w:line="240" w:lineRule="auto"/>
      </w:pPr>
      <w:r>
        <w:t>Through this exclusive agreement, CME Group will offer derivatives on the Morningstar Market Indexes, currently rebranding from CRSP, for the first time, enabling clients to utilize derivatives based on the indexes which underpin over $3 trillion in linked assets.    </w:t>
      </w:r>
      <w:r>
        <w:br/>
      </w:r>
    </w:p>
    <w:p w14:paraId="3F03F7DB" w14:textId="77777777" w:rsidR="00353249" w:rsidRDefault="00353249" w:rsidP="0090784E">
      <w:pPr>
        <w:spacing w:line="240" w:lineRule="auto"/>
      </w:pPr>
      <w:r>
        <w:t>“We’re excited to collaborate with CME Group to offer derivative products for the first time on the Morningstar Market Indexes, the most definitive and comprehensive measures of the US equity market,” added Morningstar Indexes President Amelia Furr. “With our acquisition of CRSP earlier this year, we have become the leading provider of U.S. equity benchmarks, and the new relationship with CME Group will accelerate our growth even further. Most exciting, we expect to open new doors and bring our high-quality equity indexes to an entirely new segment of the global investment marketplace.”</w:t>
      </w:r>
    </w:p>
    <w:p w14:paraId="0CDA880E" w14:textId="77777777" w:rsidR="00176931" w:rsidRDefault="000D3B6D" w:rsidP="0090784E">
      <w:pPr>
        <w:spacing w:line="240" w:lineRule="auto"/>
      </w:pPr>
      <w:r>
        <w:t>“We are pleased to partner with Morningstar to help unlock more precise, next-generation risk management tools for the global investment community,” said Tim McCourt, CME Group Senior Managing Director and Global Head of Equities, FX and Alternative Products. “Together, CME Group's deeply liquid equity derivatives marketplace paired with Morningstar's data-driven, benchmark ecosystem is expected to allow us to provide our global clients with an optimized framework to safely navigate market volatility and capture new opportunities.”</w:t>
      </w:r>
    </w:p>
    <w:p w14:paraId="7A5BD9B3" w14:textId="77777777" w:rsidR="00353249" w:rsidRDefault="00353249" w:rsidP="0090784E">
      <w:pPr>
        <w:spacing w:line="240" w:lineRule="auto"/>
        <w:rPr>
          <w:b/>
          <w:bCs/>
        </w:rPr>
      </w:pPr>
      <w:r>
        <w:rPr>
          <w:b/>
          <w:bCs/>
        </w:rPr>
        <w:t>About Morningstar, Inc.</w:t>
      </w:r>
    </w:p>
    <w:p w14:paraId="30BBA768" w14:textId="77777777" w:rsidR="00353249" w:rsidRDefault="00353249" w:rsidP="0090784E">
      <w:pPr>
        <w:spacing w:line="240" w:lineRule="auto"/>
      </w:pPr>
      <w:bookmarkStart w:id="0" w:name="_heading=h.6lzprjfjdxhb" w:colFirst="0" w:colLast="0"/>
      <w:bookmarkEnd w:id="0"/>
      <w:r>
        <w:t xml:space="preserve">Morningstar, Inc. is a leading provider of independent investment insights in North America, Europe, Australia, and Asia. The Company offers an extensive line of products and services for individual investors, financial advisors, asset managers and owners, retirement plan providers and sponsors, institutional investors in the debt and private capital markets, and alliances and redistributors. Morningstar provides data and research insights on a wide range of investment offerings, including managed investment products, publicly listed companies, private capital markets, debt securities, and real-time global market data. Morningstar also offers investment management services through its investment advisory subsidiaries, with approximately $370 billion in AUMA as of March 31, 2026. The Company operates through </w:t>
      </w:r>
      <w:proofErr w:type="gramStart"/>
      <w:r>
        <w:t>wholly-owned</w:t>
      </w:r>
      <w:proofErr w:type="gramEnd"/>
      <w:r>
        <w:t xml:space="preserve"> subsidiaries in 32 countries. For more </w:t>
      </w:r>
      <w:r>
        <w:lastRenderedPageBreak/>
        <w:t xml:space="preserve">information, visit www.morningstar.com/company. Follow Morningstar on </w:t>
      </w:r>
      <w:proofErr w:type="gramStart"/>
      <w:r>
        <w:t>LinkedIn @</w:t>
      </w:r>
      <w:proofErr w:type="gramEnd"/>
      <w:r>
        <w:t>Morningstar.</w:t>
      </w:r>
    </w:p>
    <w:p w14:paraId="1912C118" w14:textId="77777777" w:rsidR="00353249" w:rsidRDefault="00353249" w:rsidP="0090784E">
      <w:pPr>
        <w:spacing w:line="240" w:lineRule="auto"/>
        <w:rPr>
          <w:b/>
          <w:bCs/>
        </w:rPr>
      </w:pPr>
      <w:r>
        <w:rPr>
          <w:b/>
          <w:bCs/>
        </w:rPr>
        <w:t>About Morningstar Indexes</w:t>
      </w:r>
    </w:p>
    <w:p w14:paraId="7F868540" w14:textId="77777777" w:rsidR="00353249" w:rsidRDefault="00353249" w:rsidP="0090784E">
      <w:pPr>
        <w:spacing w:line="240" w:lineRule="auto"/>
      </w:pPr>
      <w:bookmarkStart w:id="1" w:name="_heading=h.p76iup2233kl" w:colFirst="0" w:colLast="0"/>
      <w:bookmarkEnd w:id="1"/>
      <w:r>
        <w:t xml:space="preserve">Morningstar Indexes was built to keep up with the evolving needs of investors—and to be a leading-edge advocate for them. Morningstar's rich heritage as a transparent, investor-focused leader in data and research uniquely equips Morningstar Indexes to support individuals, institutions, wealth managers and advisors in navigating investment opportunities across all major </w:t>
      </w:r>
      <w:proofErr w:type="gramStart"/>
      <w:r>
        <w:t>asset classes</w:t>
      </w:r>
      <w:proofErr w:type="gramEnd"/>
      <w:r>
        <w:t>, styles, and strategies. In February 2026, the acquisition of CRSP brought the CRSP Market Indexes – benchmarks for over $3 trillion in US equities – into the Morningstar Indexes family. Additionally, CRSP’s Research Data Products, renowned for their academic rigor, historical depth and accuracy, further enhances Morningstar’s equity benchmark and data capabilities. This powerful combination unites two trusted sources of market insight, reinforcing a shared commitment to transparency, quality and investor-focused solutions. Please visit indexes.morningstar.com for more information.</w:t>
      </w:r>
    </w:p>
    <w:p w14:paraId="739B6FE3" w14:textId="77777777" w:rsidR="00176931" w:rsidRDefault="000D3B6D" w:rsidP="0090784E">
      <w:pPr>
        <w:spacing w:line="240" w:lineRule="auto"/>
        <w:rPr>
          <w:b/>
          <w:bCs/>
        </w:rPr>
      </w:pPr>
      <w:r>
        <w:rPr>
          <w:b/>
          <w:bCs/>
        </w:rPr>
        <w:t xml:space="preserve">About CME Group </w:t>
      </w:r>
    </w:p>
    <w:p w14:paraId="2D2059EB" w14:textId="77777777" w:rsidR="00176931" w:rsidRDefault="000D3B6D" w:rsidP="0090784E">
      <w:pPr>
        <w:spacing w:line="240" w:lineRule="auto"/>
      </w:pPr>
      <w:r>
        <w:t>As the world's leading derivatives marketplace, CME Group (</w:t>
      </w:r>
      <w:hyperlink r:id="rId5">
        <w:r>
          <w:rPr>
            <w:color w:val="0000FF"/>
            <w:u w:val="single"/>
          </w:rPr>
          <w:t>www.cmegroup.com</w:t>
        </w:r>
      </w:hyperlink>
      <w:r>
        <w:t>) enables clients to trade futures, options, cash and OTC markets, optimize portfolios, and analyze data – empowering market participants worldwide to efficiently manage risk and capture opportunities. CME Group exchanges offer the widest range of global benchmark products across all major asset classes based on </w:t>
      </w:r>
      <w:hyperlink r:id="rId6">
        <w:r>
          <w:rPr>
            <w:color w:val="0563C1"/>
            <w:u w:val="single"/>
          </w:rPr>
          <w:t>interest rates</w:t>
        </w:r>
      </w:hyperlink>
      <w:r>
        <w:t>, </w:t>
      </w:r>
      <w:hyperlink r:id="rId7">
        <w:r>
          <w:rPr>
            <w:color w:val="0563C1"/>
            <w:u w:val="single"/>
          </w:rPr>
          <w:t>equity indexes</w:t>
        </w:r>
      </w:hyperlink>
      <w:r>
        <w:t>, </w:t>
      </w:r>
      <w:hyperlink r:id="rId8">
        <w:r>
          <w:rPr>
            <w:color w:val="0563C1"/>
            <w:u w:val="single"/>
          </w:rPr>
          <w:t>foreign exchange</w:t>
        </w:r>
      </w:hyperlink>
      <w:r>
        <w:t>, </w:t>
      </w:r>
      <w:hyperlink r:id="rId9">
        <w:r>
          <w:rPr>
            <w:color w:val="0563C1"/>
            <w:u w:val="single"/>
          </w:rPr>
          <w:t>energy</w:t>
        </w:r>
      </w:hyperlink>
      <w:r>
        <w:t>, </w:t>
      </w:r>
      <w:hyperlink r:id="rId10">
        <w:r>
          <w:rPr>
            <w:color w:val="0563C1"/>
            <w:u w:val="single"/>
          </w:rPr>
          <w:t>agricultural products</w:t>
        </w:r>
      </w:hyperlink>
      <w:r>
        <w:t> and </w:t>
      </w:r>
      <w:hyperlink r:id="rId11">
        <w:r>
          <w:rPr>
            <w:color w:val="0563C1"/>
            <w:u w:val="single"/>
          </w:rPr>
          <w:t>metals</w:t>
        </w:r>
      </w:hyperlink>
      <w:r>
        <w:t xml:space="preserve">.  The company offers futures and options on futures trading through the </w:t>
      </w:r>
      <w:hyperlink r:id="rId12">
        <w:r>
          <w:rPr>
            <w:color w:val="0563C1"/>
            <w:u w:val="single"/>
          </w:rPr>
          <w:t>CME Globex</w:t>
        </w:r>
      </w:hyperlink>
      <w:r>
        <w:t xml:space="preserve"> platform, fixed income trading via BrokerTec and foreign exchange trading on the EBS platform.  In addition, it operates one of the world's leading central counterparty clearing providers, CME Clearing.  </w:t>
      </w:r>
    </w:p>
    <w:p w14:paraId="4D2648FD" w14:textId="77777777" w:rsidR="00176931" w:rsidRDefault="000D3B6D">
      <w:pPr>
        <w:spacing w:line="240" w:lineRule="auto"/>
        <w:ind w:firstLine="720"/>
      </w:pPr>
      <w:bookmarkStart w:id="2" w:name="_heading=h.gjdgxs" w:colFirst="0" w:colLast="0"/>
      <w:bookmarkEnd w:id="2"/>
      <w:r>
        <w:t xml:space="preserve">CME Group, the Globe logo, CME, Chicago Mercantile Exchange, Globex, and E-mini are trademarks of Chicago Mercantile Exchange Inc.  CBOT and Chicago Board of Trade are trademarks of Board of Trade of the City of Chicago, Inc.  NYMEX, New York Mercantile Exchange and </w:t>
      </w:r>
      <w:proofErr w:type="spellStart"/>
      <w:r>
        <w:t>ClearPort</w:t>
      </w:r>
      <w:proofErr w:type="spellEnd"/>
      <w:r>
        <w:t xml:space="preserve"> are trademarks of New York Mercantile Exchange, Inc.  COMEX is a trademark of Commodity Exchange, Inc. BrokerTec is a trademark of BrokerTec Americas LLC and EBS is a trademark of EBS Group LTD. The S&amp;P 500 Index is a product of S&amp;P Dow Jones Indices LLC (“S&amp;P DJI”). “S&amp;P®”, “S&amp;P 500®”, “SPY®”, “SPX®”, US 500 and </w:t>
      </w:r>
      <w:proofErr w:type="gramStart"/>
      <w:r>
        <w:t>The</w:t>
      </w:r>
      <w:proofErr w:type="gramEnd"/>
      <w:r>
        <w:t xml:space="preserve"> 500 are trademarks of Standard &amp; Poor’s Financial Services LLC; Dow Jones®, DJIA® and Dow Jones Industrial Average are service and/or trademarks of Dow Jones Trademark Holdings LLC. These trademarks have been licensed for use by Chicago Mercantile Exchange Inc. Futures contracts based on the S&amp;P 500 Index are not sponsored, endorsed, marketed, or promoted by S&amp;P DJI, and S&amp;P DJI makes no representation regarding the advisability of investing in such products. All other trademarks are the property of their respective owners. </w:t>
      </w:r>
    </w:p>
    <w:p w14:paraId="18073B94" w14:textId="77777777" w:rsidR="00176931" w:rsidRDefault="00176931">
      <w:pPr>
        <w:spacing w:line="240" w:lineRule="auto"/>
        <w:ind w:firstLine="720"/>
      </w:pPr>
      <w:bookmarkStart w:id="3" w:name="_heading=h.qahzijaqjv8c" w:colFirst="0" w:colLast="0"/>
      <w:bookmarkStart w:id="4" w:name="_heading=h.5nydbpaj9xq" w:colFirst="0" w:colLast="0"/>
      <w:bookmarkEnd w:id="3"/>
      <w:bookmarkEnd w:id="4"/>
    </w:p>
    <w:p w14:paraId="688560E0" w14:textId="77777777" w:rsidR="00176931" w:rsidRDefault="000D3B6D" w:rsidP="0090784E">
      <w:pPr>
        <w:spacing w:line="240" w:lineRule="auto"/>
        <w:rPr>
          <w:b/>
          <w:bCs/>
        </w:rPr>
      </w:pPr>
      <w:r>
        <w:rPr>
          <w:b/>
          <w:bCs/>
        </w:rPr>
        <w:lastRenderedPageBreak/>
        <w:t>Caution Concerning Forward-Looking Statements</w:t>
      </w:r>
    </w:p>
    <w:p w14:paraId="5FE24F7C" w14:textId="77777777" w:rsidR="00176931" w:rsidRDefault="000D3B6D" w:rsidP="0090784E">
      <w:pPr>
        <w:spacing w:line="240" w:lineRule="auto"/>
      </w:pPr>
      <w:r>
        <w:t xml:space="preserve">This press release contains forward-looking statements as that term is used in the Private Securities Litigation Reform Act of 1995. These statements are based on current expectations about future events or future financial performance. Forward-looking statements by their nature address matters that are, to different degrees, uncertain, and often contain words such as "aim," "committed," "consider," "estimate," "future," "goal," "is designed to," "maintain," "may," "might," "objective," "ongoing," "could," "expect," "intend," "plan," "possible," "potential," "seek," "anticipate," "believe," "predict," "prospects," "continue," "strategy," "strive," "will," "would," "determine," "evaluate," or the negative thereof, and similar expressions. These statements involve known and unknown risks and uncertainties that may cause the events we discuss not to occur or to differ significantly from what we expect. These risks and uncertainties include, among others, failing to achieve the anticipated benefits of the licensing agreement between CME Group and Morningstar. If any of these risks and uncertainties materialize, actual future results and other future events may vary significantly from what we expect. We do not undertake to update our forward-looking statements </w:t>
      </w:r>
      <w:proofErr w:type="gramStart"/>
      <w:r>
        <w:t>as a result of</w:t>
      </w:r>
      <w:proofErr w:type="gramEnd"/>
      <w:r>
        <w:t xml:space="preserve"> new information, future events or otherwise, except as may be required by law. You are, however, advised </w:t>
      </w:r>
      <w:proofErr w:type="gramStart"/>
      <w:r>
        <w:t>to review</w:t>
      </w:r>
      <w:proofErr w:type="gramEnd"/>
      <w:r>
        <w:t xml:space="preserve"> any further disclosures we make on related subjects, and about new or additional risks, uncertainties and assumptions in our future filings with the SEC on Forms 10-K, 10-Q, and 8-K. This press release does not constitute an offer to sell or a solicitation of an offer to buy any securities in any jurisdiction.</w:t>
      </w:r>
    </w:p>
    <w:p w14:paraId="1886CBB6" w14:textId="77777777" w:rsidR="00176931" w:rsidRDefault="000D3B6D">
      <w:pPr>
        <w:spacing w:before="240"/>
        <w:rPr>
          <w:b/>
          <w:bCs/>
          <w:sz w:val="20"/>
          <w:szCs w:val="20"/>
        </w:rPr>
      </w:pPr>
      <w:bookmarkStart w:id="5" w:name="_heading=h.1w2rt0ypzuio" w:colFirst="0" w:colLast="0"/>
      <w:bookmarkEnd w:id="5"/>
      <w:r>
        <w:rPr>
          <w:b/>
          <w:bCs/>
          <w:sz w:val="20"/>
          <w:szCs w:val="20"/>
        </w:rPr>
        <w:t>CME Group Contacts</w:t>
      </w:r>
    </w:p>
    <w:p w14:paraId="0641C077" w14:textId="77777777" w:rsidR="00176931" w:rsidRDefault="000D3B6D">
      <w:pPr>
        <w:spacing w:before="240" w:line="240" w:lineRule="auto"/>
        <w:rPr>
          <w:color w:val="4A86E8"/>
          <w:sz w:val="20"/>
          <w:szCs w:val="20"/>
        </w:rPr>
      </w:pPr>
      <w:r>
        <w:rPr>
          <w:sz w:val="20"/>
          <w:szCs w:val="20"/>
        </w:rPr>
        <w:t xml:space="preserve">Media: </w:t>
      </w:r>
      <w:hyperlink r:id="rId13">
        <w:r>
          <w:rPr>
            <w:color w:val="1155CC"/>
            <w:sz w:val="20"/>
            <w:szCs w:val="20"/>
            <w:u w:val="single"/>
          </w:rPr>
          <w:t>matt.southerlan@cmegroup.com</w:t>
        </w:r>
      </w:hyperlink>
      <w:r>
        <w:rPr>
          <w:sz w:val="20"/>
          <w:szCs w:val="20"/>
        </w:rPr>
        <w:t xml:space="preserve"> </w:t>
      </w:r>
      <w:r>
        <w:rPr>
          <w:sz w:val="20"/>
          <w:szCs w:val="20"/>
        </w:rPr>
        <w:br/>
        <w:t xml:space="preserve">Investors: </w:t>
      </w:r>
      <w:hyperlink r:id="rId14">
        <w:r>
          <w:rPr>
            <w:color w:val="4A86E8"/>
            <w:sz w:val="20"/>
            <w:szCs w:val="20"/>
            <w:u w:val="single"/>
          </w:rPr>
          <w:t>investors@cmegroup.com</w:t>
        </w:r>
      </w:hyperlink>
    </w:p>
    <w:p w14:paraId="23814350" w14:textId="77777777" w:rsidR="00176931" w:rsidRDefault="000D3B6D">
      <w:pPr>
        <w:spacing w:before="240" w:line="240" w:lineRule="auto"/>
        <w:rPr>
          <w:b/>
          <w:bCs/>
          <w:sz w:val="20"/>
          <w:szCs w:val="20"/>
        </w:rPr>
      </w:pPr>
      <w:r>
        <w:rPr>
          <w:b/>
          <w:bCs/>
          <w:sz w:val="20"/>
          <w:szCs w:val="20"/>
        </w:rPr>
        <w:t>Morningstar Contacts</w:t>
      </w:r>
    </w:p>
    <w:p w14:paraId="310022BD" w14:textId="3EFBAAB7" w:rsidR="00176931" w:rsidRDefault="000D3B6D">
      <w:pPr>
        <w:spacing w:before="240" w:line="240" w:lineRule="auto"/>
        <w:rPr>
          <w:sz w:val="20"/>
          <w:szCs w:val="20"/>
        </w:rPr>
      </w:pPr>
      <w:r>
        <w:rPr>
          <w:sz w:val="20"/>
          <w:szCs w:val="20"/>
        </w:rPr>
        <w:t>Media:</w:t>
      </w:r>
      <w:hyperlink r:id="rId15">
        <w:r>
          <w:rPr>
            <w:color w:val="1155CC"/>
            <w:sz w:val="20"/>
            <w:szCs w:val="20"/>
            <w:u w:val="single"/>
          </w:rPr>
          <w:t>tim.benedict@morningstar.com</w:t>
        </w:r>
      </w:hyperlink>
      <w:r>
        <w:rPr>
          <w:sz w:val="20"/>
          <w:szCs w:val="20"/>
        </w:rPr>
        <w:t xml:space="preserve"> or </w:t>
      </w:r>
      <w:hyperlink r:id="rId16">
        <w:r>
          <w:rPr>
            <w:color w:val="1155CC"/>
            <w:sz w:val="20"/>
            <w:szCs w:val="20"/>
            <w:u w:val="single"/>
          </w:rPr>
          <w:t>stephanie.lerdall@morningstar.com</w:t>
        </w:r>
      </w:hyperlink>
      <w:r>
        <w:rPr>
          <w:sz w:val="20"/>
          <w:szCs w:val="20"/>
        </w:rPr>
        <w:t xml:space="preserve"> </w:t>
      </w:r>
      <w:r>
        <w:rPr>
          <w:sz w:val="20"/>
          <w:szCs w:val="20"/>
        </w:rPr>
        <w:br/>
      </w:r>
    </w:p>
    <w:p w14:paraId="6D417BDB" w14:textId="77777777" w:rsidR="00176931" w:rsidRDefault="000D3B6D">
      <w:pPr>
        <w:spacing w:before="240" w:line="240" w:lineRule="auto"/>
        <w:jc w:val="center"/>
        <w:rPr>
          <w:sz w:val="20"/>
          <w:szCs w:val="20"/>
        </w:rPr>
      </w:pPr>
      <w:r>
        <w:rPr>
          <w:sz w:val="20"/>
          <w:szCs w:val="20"/>
        </w:rPr>
        <w:t># # #</w:t>
      </w:r>
    </w:p>
    <w:p w14:paraId="30B45F4F" w14:textId="77777777" w:rsidR="00176931" w:rsidRDefault="00176931"/>
    <w:sectPr w:rsidR="0017693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716BA0A-86E2-4AD8-AB5D-FC50A41D1E59}"/>
    <w:embedBold r:id="rId2" w:fontKey="{E576AE29-BA73-430A-8B02-AC2411CA9BC5}"/>
    <w:embedItalic r:id="rId3" w:fontKey="{8B566812-DE7A-4701-A6A1-9B63011FA2D5}"/>
  </w:font>
  <w:font w:name="Play">
    <w:charset w:val="00"/>
    <w:family w:val="auto"/>
    <w:pitch w:val="default"/>
    <w:embedRegular r:id="rId4" w:fontKey="{18F65832-3E98-4D16-AC30-A1D9BA6BC34A}"/>
  </w:font>
  <w:font w:name="Times New Roman">
    <w:panose1 w:val="02020603050405020304"/>
    <w:charset w:val="00"/>
    <w:family w:val="roman"/>
    <w:pitch w:val="variable"/>
    <w:sig w:usb0="E0002EFF" w:usb1="C000785B" w:usb2="00000009" w:usb3="00000000" w:csb0="000001FF" w:csb1="00000000"/>
  </w:font>
  <w:font w:name="NTR">
    <w:charset w:val="00"/>
    <w:family w:val="auto"/>
    <w:pitch w:val="default"/>
    <w:embedBold r:id="rId5" w:fontKey="{66D29304-A3F1-4C06-B029-3A7FFE15D1B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608058C-C9F8-4887-9905-2E601303E439}"/>
  </w:font>
  <w:font w:name="Cambria">
    <w:panose1 w:val="02040503050406030204"/>
    <w:charset w:val="00"/>
    <w:family w:val="roman"/>
    <w:pitch w:val="variable"/>
    <w:sig w:usb0="E00006FF" w:usb1="420024FF" w:usb2="02000000" w:usb3="00000000" w:csb0="0000019F" w:csb1="00000000"/>
    <w:embedRegular r:id="rId7" w:fontKey="{E3A25431-F644-4060-9A3A-AB65D2D8ED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931"/>
    <w:rsid w:val="000D3B6D"/>
    <w:rsid w:val="00144278"/>
    <w:rsid w:val="00176931"/>
    <w:rsid w:val="00353249"/>
    <w:rsid w:val="0075783F"/>
    <w:rsid w:val="007C64CE"/>
    <w:rsid w:val="008B41D2"/>
    <w:rsid w:val="0090784E"/>
    <w:rsid w:val="00A24F6B"/>
    <w:rsid w:val="00C407FD"/>
    <w:rsid w:val="00CC5432"/>
    <w:rsid w:val="00F95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D95AB"/>
  <w15:docId w15:val="{5B38969D-9255-4252-AB8A-20646414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megroup.com/trading/fx/" TargetMode="External"/><Relationship Id="rId13" Type="http://schemas.openxmlformats.org/officeDocument/2006/relationships/hyperlink" Target="mailto:matt.southerlan@cmegroup.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megroup.com/trading/equity-index/index.html" TargetMode="External"/><Relationship Id="rId12" Type="http://schemas.openxmlformats.org/officeDocument/2006/relationships/hyperlink" Target="http://www.cmegroup.com/globex/index.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tephanie.lerdall@morningstar.com" TargetMode="External"/><Relationship Id="rId1" Type="http://schemas.openxmlformats.org/officeDocument/2006/relationships/customXml" Target="../customXml/item1.xml"/><Relationship Id="rId6" Type="http://schemas.openxmlformats.org/officeDocument/2006/relationships/hyperlink" Target="http://www.cmegroup.com/trading/interest-rates/index.html" TargetMode="External"/><Relationship Id="rId11" Type="http://schemas.openxmlformats.org/officeDocument/2006/relationships/hyperlink" Target="http://www.cmegroup.com/trading/metals/" TargetMode="External"/><Relationship Id="rId5" Type="http://schemas.openxmlformats.org/officeDocument/2006/relationships/hyperlink" Target="http://www.cmegroup.com/" TargetMode="External"/><Relationship Id="rId15" Type="http://schemas.openxmlformats.org/officeDocument/2006/relationships/hyperlink" Target="mailto:tim.benedict@morningstar.com" TargetMode="External"/><Relationship Id="rId10" Type="http://schemas.openxmlformats.org/officeDocument/2006/relationships/hyperlink" Target="http://www.cmegroup.com/trading/agricultural/" TargetMode="External"/><Relationship Id="rId4" Type="http://schemas.openxmlformats.org/officeDocument/2006/relationships/webSettings" Target="webSettings.xml"/><Relationship Id="rId9" Type="http://schemas.openxmlformats.org/officeDocument/2006/relationships/hyperlink" Target="http://www.cmegroup.com/trading/energy/" TargetMode="External"/><Relationship Id="rId14" Type="http://schemas.openxmlformats.org/officeDocument/2006/relationships/hyperlink" Target="mailto:investors@cmegroup.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fUCsjkxDbLMwp4j9j+t5rF5jzA==">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1268</Words>
  <Characters>7233</Characters>
  <Application>Microsoft Office Word</Application>
  <DocSecurity>0</DocSecurity>
  <Lines>60</Lines>
  <Paragraphs>16</Paragraphs>
  <ScaleCrop>false</ScaleCrop>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Benedict</dc:creator>
  <cp:lastModifiedBy>Tim Benedict</cp:lastModifiedBy>
  <cp:revision>7</cp:revision>
  <dcterms:created xsi:type="dcterms:W3CDTF">2026-06-10T18:15:00Z</dcterms:created>
  <dcterms:modified xsi:type="dcterms:W3CDTF">2026-06-10T18:21:00Z</dcterms:modified>
</cp:coreProperties>
</file>